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2FD0C8">
      <w:pPr>
        <w:pStyle w:val="2"/>
        <w:bidi w:val="0"/>
        <w:rPr>
          <w:rFonts w:hint="eastAsia"/>
        </w:rPr>
      </w:pPr>
      <w:r>
        <w:rPr>
          <w:rFonts w:hint="eastAsia"/>
        </w:rPr>
        <w:t>应急管理部办公厅 金融监管总局办公厅 国家矿山安监局综合司关于2026年精准开展安责险事故预防服务 助力重点高危行业领域企业提升安全生产管</w:t>
      </w:r>
      <w:bookmarkStart w:id="0" w:name="_GoBack"/>
      <w:bookmarkEnd w:id="0"/>
      <w:r>
        <w:rPr>
          <w:rFonts w:hint="eastAsia"/>
        </w:rPr>
        <w:t>理水平的通知</w:t>
      </w:r>
    </w:p>
    <w:p w14:paraId="7CEE5E33">
      <w:pPr>
        <w:pStyle w:val="5"/>
        <w:bidi w:val="0"/>
      </w:pPr>
    </w:p>
    <w:p w14:paraId="46B7E7DA">
      <w:pPr>
        <w:pStyle w:val="5"/>
        <w:bidi w:val="0"/>
      </w:pPr>
      <w:r>
        <w:rPr>
          <w:rFonts w:hint="eastAsia"/>
        </w:rPr>
        <w:t>应急厅函〔2026〕352号</w:t>
      </w:r>
    </w:p>
    <w:p w14:paraId="48D4702B"/>
    <w:p w14:paraId="14947C1C">
      <w:pPr>
        <w:bidi w:val="0"/>
        <w:rPr>
          <w:rFonts w:hint="eastAsia"/>
        </w:rPr>
      </w:pPr>
      <w:r>
        <w:rPr>
          <w:rFonts w:hint="eastAsia"/>
          <w:lang w:val="en-US" w:eastAsia="zh-CN"/>
        </w:rPr>
        <w:t>各省、自治区、直辖市应急管理厅（局），新疆生产建设兵团应急管理局，金融监管总局各监管局，各省级矿山安全监管部门，国家矿山安监局各省级局，各相关财产保险公司：</w:t>
      </w:r>
    </w:p>
    <w:p w14:paraId="2F3D8B39">
      <w:pPr>
        <w:bidi w:val="0"/>
        <w:rPr>
          <w:rFonts w:hint="eastAsia"/>
        </w:rPr>
      </w:pPr>
      <w:r>
        <w:rPr>
          <w:rFonts w:hint="eastAsia"/>
          <w:lang w:val="en-US" w:eastAsia="zh-CN"/>
        </w:rPr>
        <w:t>今年以来，全国重特大事故多发，安全生产形势异常严峻。为深入贯彻落实习近平总书记关于安全生产的重要指示批示精神，认真汲取近期发生的事故教训，充分发挥保险机构参与风险评估管控和事故预防服务功能，根据《中华人民共和国安全生产法》《安全生产责任保险实施办法》等规定，现就2026年在矿山、危险化学品、烟花爆竹、金属冶炼等重点高危行业领域企业开展安全生产责任保险（以下简称安责险）针对性事故预防服务，助力重点高危行业领域企业提升安全生产管理水平等有关事项通知如下：</w:t>
      </w:r>
    </w:p>
    <w:p w14:paraId="72864C6D">
      <w:pPr>
        <w:bidi w:val="0"/>
        <w:rPr>
          <w:rFonts w:hint="eastAsia"/>
        </w:rPr>
      </w:pPr>
      <w:r>
        <w:rPr>
          <w:rFonts w:hint="eastAsia"/>
          <w:lang w:val="en-US" w:eastAsia="zh-CN"/>
        </w:rPr>
        <w:t>一、实现应保尽保，筑牢风险防控基石</w:t>
      </w:r>
    </w:p>
    <w:p w14:paraId="5BCB20F6">
      <w:pPr>
        <w:bidi w:val="0"/>
        <w:rPr>
          <w:rFonts w:hint="eastAsia"/>
        </w:rPr>
      </w:pPr>
      <w:r>
        <w:rPr>
          <w:rFonts w:hint="eastAsia"/>
          <w:lang w:val="en-US" w:eastAsia="zh-CN"/>
        </w:rPr>
        <w:t>应急管理部门、矿山安全监管部门要全面摸排所监管高危行业领域内应当投保安责险的企业底数，及时建立基础台账，并同步建立动态更新机制，对新成立、变更或注销的企业及时更新信息，确保数据真实、完整，并向保险行业共享。依法开展安责险投保检查，对应投保未投保、未全员投保、未足额投保的企业严格依照《中华人民共和国安全生产法》规定实施处罚并督促整改落实，确保今年年底前应急管理部门、矿山安全监管部门监管的高危行业领域企业安责险投保覆盖率达到100%。同时，指导企业根据自身风险状况合理确定保障额度，确保保障水平与实际风险相匹配，防止部分高风险企业为节约成本低价投保、虚假投保。</w:t>
      </w:r>
    </w:p>
    <w:p w14:paraId="1B24DBF4">
      <w:pPr>
        <w:bidi w:val="0"/>
        <w:rPr>
          <w:rFonts w:hint="eastAsia"/>
        </w:rPr>
      </w:pPr>
      <w:r>
        <w:rPr>
          <w:rFonts w:hint="eastAsia"/>
          <w:lang w:val="en-US" w:eastAsia="zh-CN"/>
        </w:rPr>
        <w:t>二、开展精准服务，提升事故预防质效</w:t>
      </w:r>
    </w:p>
    <w:p w14:paraId="2A1EA26C">
      <w:pPr>
        <w:bidi w:val="0"/>
        <w:rPr>
          <w:rFonts w:hint="eastAsia"/>
        </w:rPr>
      </w:pPr>
      <w:r>
        <w:rPr>
          <w:rFonts w:hint="eastAsia"/>
          <w:lang w:val="en-US" w:eastAsia="zh-CN"/>
        </w:rPr>
        <w:t>承保保险机构要加大事故预防费用投入，认真贯彻落实当地应急管理部门、矿山安全监管部门和金融监管部门的相关工作部署，制定年度预算目标并确保投入到位。应急管理部门、矿山安全监管部门监管的高危行业领域开展事故预防服务要严格落实《安全生产责任保险事故预防服务规范》系列标准（以下简称《服务规范》）要求，重点围绕以下内容开展事故预防服务：</w:t>
      </w:r>
    </w:p>
    <w:p w14:paraId="772AF70B">
      <w:pPr>
        <w:bidi w:val="0"/>
        <w:rPr>
          <w:rFonts w:hint="eastAsia"/>
        </w:rPr>
      </w:pPr>
      <w:r>
        <w:rPr>
          <w:rFonts w:hint="eastAsia"/>
          <w:lang w:val="en-US" w:eastAsia="zh-CN"/>
        </w:rPr>
        <w:t>（一）矿山行业领域</w:t>
      </w:r>
    </w:p>
    <w:p w14:paraId="0E94FBC4">
      <w:pPr>
        <w:bidi w:val="0"/>
        <w:rPr>
          <w:rFonts w:hint="eastAsia"/>
        </w:rPr>
      </w:pPr>
      <w:r>
        <w:rPr>
          <w:rFonts w:hint="eastAsia"/>
          <w:lang w:val="en-US" w:eastAsia="zh-CN"/>
        </w:rPr>
        <w:t>1.矿山企业</w:t>
      </w:r>
    </w:p>
    <w:p w14:paraId="21A26A77">
      <w:pPr>
        <w:bidi w:val="0"/>
        <w:rPr>
          <w:rFonts w:hint="eastAsia"/>
        </w:rPr>
      </w:pPr>
      <w:r>
        <w:rPr>
          <w:rFonts w:hint="eastAsia"/>
          <w:lang w:val="en-US" w:eastAsia="zh-CN"/>
        </w:rPr>
        <w:t>（1）协助矿山企业研发推广使用安全生产新装备、新工艺、新技术，尤其是煤矿水害、瓦斯、冲击地压、火灾、顶板等重大灾害防控技术及装备；以市场化服务手段助推煤矿井下机器人等新技术、新装备的落地应用。</w:t>
      </w:r>
    </w:p>
    <w:p w14:paraId="464D4BA5">
      <w:pPr>
        <w:bidi w:val="0"/>
        <w:rPr>
          <w:rFonts w:hint="eastAsia"/>
        </w:rPr>
      </w:pPr>
      <w:r>
        <w:rPr>
          <w:rFonts w:hint="eastAsia"/>
          <w:lang w:val="en-US" w:eastAsia="zh-CN"/>
        </w:rPr>
        <w:t>（2）开展安全生产教育培训，重点关注反“三违”专项培训服务，包括但不限于开发“三违”分级认定标准课程，帮助企业建立“三违”行为表现清单；开展案例警示教育；针对“五职”矿长和班组长开展反“三违”专题培训和相关安全生产法律法规、标准规范培训等。</w:t>
      </w:r>
    </w:p>
    <w:p w14:paraId="6892D2F0">
      <w:pPr>
        <w:bidi w:val="0"/>
        <w:rPr>
          <w:rFonts w:hint="eastAsia"/>
        </w:rPr>
      </w:pPr>
      <w:r>
        <w:rPr>
          <w:rFonts w:hint="eastAsia"/>
          <w:lang w:val="en-US" w:eastAsia="zh-CN"/>
        </w:rPr>
        <w:t>（3）委托第三方专业机构或者组织专家对矿山企业进行“安全诊断”；帮助矿山企业建立健全安全风险分级管控制度和重大事故隐患自查自改常态化机制；加强安全生产标准化建设指导，对制度建设、现场管理、设备状态等进行诊断评估，帮助企业实现安全生产标准化动态达标。</w:t>
      </w:r>
    </w:p>
    <w:p w14:paraId="747BA01A">
      <w:pPr>
        <w:bidi w:val="0"/>
        <w:rPr>
          <w:rFonts w:hint="eastAsia"/>
        </w:rPr>
      </w:pPr>
      <w:r>
        <w:rPr>
          <w:rFonts w:hint="eastAsia"/>
          <w:lang w:val="en-US" w:eastAsia="zh-CN"/>
        </w:rPr>
        <w:t>2.石油天然气（包括页岩油、页岩气）开采企业</w:t>
      </w:r>
    </w:p>
    <w:p w14:paraId="2D144BE4">
      <w:pPr>
        <w:bidi w:val="0"/>
        <w:rPr>
          <w:rFonts w:hint="eastAsia"/>
        </w:rPr>
      </w:pPr>
      <w:r>
        <w:rPr>
          <w:rFonts w:hint="eastAsia"/>
          <w:lang w:val="en-US" w:eastAsia="zh-CN"/>
        </w:rPr>
        <w:t>（1）开展安全生产教育培训，加强特种作业培训教育，特殊作业安全操作技能培训，海洋石油井控技术、防硫化氢安全培训，海洋石油作业安全救生培训等；针对重大安全风险和典型事故案例，编制警示教育片。</w:t>
      </w:r>
    </w:p>
    <w:p w14:paraId="11F0701D">
      <w:pPr>
        <w:bidi w:val="0"/>
        <w:rPr>
          <w:rFonts w:hint="eastAsia"/>
        </w:rPr>
      </w:pPr>
      <w:r>
        <w:rPr>
          <w:rFonts w:hint="eastAsia"/>
          <w:lang w:val="en-US" w:eastAsia="zh-CN"/>
        </w:rPr>
        <w:t>（2）开展标准宣贯，对新发布的安全生产技术标准制作一图读懂、解读视频等，开展线上与线下相结合的培训教育。</w:t>
      </w:r>
    </w:p>
    <w:p w14:paraId="697D5634">
      <w:pPr>
        <w:bidi w:val="0"/>
        <w:rPr>
          <w:rFonts w:hint="eastAsia"/>
        </w:rPr>
      </w:pPr>
      <w:r>
        <w:rPr>
          <w:rFonts w:hint="eastAsia"/>
          <w:lang w:val="en-US" w:eastAsia="zh-CN"/>
        </w:rPr>
        <w:t>（3）开展安全生产标准化建设，推动企业加强安全生产标准化建设，申报安全生产标准化等级。</w:t>
      </w:r>
    </w:p>
    <w:p w14:paraId="1A43EA16">
      <w:pPr>
        <w:bidi w:val="0"/>
        <w:rPr>
          <w:rFonts w:hint="eastAsia"/>
        </w:rPr>
      </w:pPr>
      <w:r>
        <w:rPr>
          <w:rFonts w:hint="eastAsia"/>
          <w:lang w:val="en-US" w:eastAsia="zh-CN"/>
        </w:rPr>
        <w:t>（二）化工和危险化学品行业领域</w:t>
      </w:r>
    </w:p>
    <w:p w14:paraId="7F4789C6">
      <w:pPr>
        <w:bidi w:val="0"/>
        <w:rPr>
          <w:rFonts w:hint="eastAsia"/>
        </w:rPr>
      </w:pPr>
      <w:r>
        <w:rPr>
          <w:rFonts w:hint="eastAsia"/>
          <w:lang w:val="en-US" w:eastAsia="zh-CN"/>
        </w:rPr>
        <w:t>1.持续抓实专业能力培训，贯彻落实《中华人民共和国危险化学品安全法》等法律法规以及《化工和危险化学品生产经营企业重大生产安全事故隐患判定准则》《危险化学品企业安全生产标准化通用规范》《精细化工企业安全管理规范》《化工企业氯气安全技术规范》等强制性标准，开发企业主要负责人、安全管理人员专题培训课程，重点解读法律法规和相关标准对企业的新要求。</w:t>
      </w:r>
    </w:p>
    <w:p w14:paraId="19E9294C">
      <w:pPr>
        <w:bidi w:val="0"/>
        <w:rPr>
          <w:rFonts w:hint="eastAsia"/>
        </w:rPr>
      </w:pPr>
      <w:r>
        <w:rPr>
          <w:rFonts w:hint="eastAsia"/>
          <w:lang w:val="en-US" w:eastAsia="zh-CN"/>
        </w:rPr>
        <w:t>2.协助企业对照法律法规和相关标准要求开展合规性自查、重大隐患排查整改、安全生产标准化体系培训等。</w:t>
      </w:r>
    </w:p>
    <w:p w14:paraId="4148F9E8">
      <w:pPr>
        <w:bidi w:val="0"/>
        <w:rPr>
          <w:rFonts w:hint="eastAsia"/>
        </w:rPr>
      </w:pPr>
      <w:r>
        <w:rPr>
          <w:rFonts w:hint="eastAsia"/>
          <w:lang w:val="en-US" w:eastAsia="zh-CN"/>
        </w:rPr>
        <w:t>（三）烟花爆竹行业领域</w:t>
      </w:r>
    </w:p>
    <w:p w14:paraId="28B0B8DC">
      <w:pPr>
        <w:bidi w:val="0"/>
        <w:rPr>
          <w:rFonts w:hint="eastAsia"/>
        </w:rPr>
      </w:pPr>
      <w:r>
        <w:rPr>
          <w:rFonts w:hint="eastAsia"/>
          <w:lang w:val="en-US" w:eastAsia="zh-CN"/>
        </w:rPr>
        <w:t>1.以法规标准、事故案例教学为重点，开发专题培训课程、搭建测评考核平台，通过培训和考核督促企业主要负责人、安全管理人员、从业人员持续增强安全意识，提升安全管理能力和专业技能水平，提高发现问题和解决问题的强烈意愿和能力水平。</w:t>
      </w:r>
    </w:p>
    <w:p w14:paraId="7DA160BD">
      <w:pPr>
        <w:bidi w:val="0"/>
        <w:rPr>
          <w:rFonts w:hint="eastAsia"/>
        </w:rPr>
      </w:pPr>
      <w:r>
        <w:rPr>
          <w:rFonts w:hint="eastAsia"/>
          <w:lang w:val="en-US" w:eastAsia="zh-CN"/>
        </w:rPr>
        <w:t>2.通过组织专家指导服务等方式，帮助企业开展风险隐患排查治理，结合烟花爆竹全链条“打非治违”专项行动，协助监管部门开展全链条排查整治。</w:t>
      </w:r>
    </w:p>
    <w:p w14:paraId="7DBC1B1C">
      <w:pPr>
        <w:bidi w:val="0"/>
        <w:rPr>
          <w:rFonts w:hint="eastAsia"/>
        </w:rPr>
      </w:pPr>
      <w:r>
        <w:rPr>
          <w:rFonts w:hint="eastAsia"/>
          <w:lang w:val="en-US" w:eastAsia="zh-CN"/>
        </w:rPr>
        <w:t>（四）金属冶炼行业领域</w:t>
      </w:r>
    </w:p>
    <w:p w14:paraId="6F1A857C">
      <w:pPr>
        <w:bidi w:val="0"/>
        <w:rPr>
          <w:rFonts w:hint="eastAsia"/>
        </w:rPr>
      </w:pPr>
      <w:r>
        <w:rPr>
          <w:rFonts w:hint="eastAsia"/>
          <w:lang w:val="en-US" w:eastAsia="zh-CN"/>
        </w:rPr>
        <w:t>1.组织开展重大事故隐患判定标准、安全生产技术标准等法规标准的宣贯解读，协助企业对照开展自查，提升发现问题隐患的能力水平。</w:t>
      </w:r>
    </w:p>
    <w:p w14:paraId="5D961CC5">
      <w:pPr>
        <w:bidi w:val="0"/>
        <w:rPr>
          <w:rFonts w:hint="eastAsia"/>
        </w:rPr>
      </w:pPr>
      <w:r>
        <w:rPr>
          <w:rFonts w:hint="eastAsia"/>
        </w:rPr>
        <w:t>2.协助企业研发推广使用自动化、机械化、智能化水平更高的技术装备，特别是对涉高温熔融金属和冶金煤气的老旧设备设施进行改造更新，提升企业本质安全水平。</w:t>
      </w:r>
    </w:p>
    <w:p w14:paraId="40F64FEB">
      <w:pPr>
        <w:bidi w:val="0"/>
        <w:rPr>
          <w:rFonts w:hint="eastAsia"/>
        </w:rPr>
      </w:pPr>
      <w:r>
        <w:rPr>
          <w:rFonts w:hint="eastAsia"/>
          <w:lang w:val="en-US" w:eastAsia="zh-CN"/>
        </w:rPr>
        <w:t>3.帮助企业加强安全生产标准化建设。开展评定标准、定级流程等相关政策标准的解读培训，提升企业自主申报、自主开展安全生产标准化创建的能力水平。</w:t>
      </w:r>
    </w:p>
    <w:p w14:paraId="0BC9FE1D">
      <w:pPr>
        <w:bidi w:val="0"/>
        <w:rPr>
          <w:rFonts w:hint="eastAsia"/>
        </w:rPr>
      </w:pPr>
      <w:r>
        <w:rPr>
          <w:rFonts w:hint="eastAsia"/>
          <w:lang w:val="en-US" w:eastAsia="zh-CN"/>
        </w:rPr>
        <w:t>4.积极推广企业可持续发展（SCORE）项目。优先选取涉高温熔融金属、冶金煤气等安全风险较高的岗位班组，通过SCORE项目提升企业系统治理水平。</w:t>
      </w:r>
    </w:p>
    <w:p w14:paraId="11AE99CB">
      <w:pPr>
        <w:bidi w:val="0"/>
        <w:rPr>
          <w:rFonts w:hint="eastAsia"/>
        </w:rPr>
      </w:pPr>
      <w:r>
        <w:rPr>
          <w:rFonts w:hint="eastAsia"/>
          <w:lang w:val="en-US" w:eastAsia="zh-CN"/>
        </w:rPr>
        <w:t>保险机构要对委托开展服务的安全生产技术服务机构严格把关，委托开展重大事故隐患排查治理的，鼓励优先聘用具有安全评价机构资质的安全生产专业技术服务机构。要统筹用好事故预防服务费用，将点对点服务与集中服务相结合、常规服务与急需先做服务相结合，持续提升预防服务质效。应急管理部门、矿山安全监管部门要优化监管方式、强化靠前指导与帮扶服务，引导企业积极配合事故预防服务，对保险机构排查发现的重大事故隐患，要督促投保企业限期整改、闭环管理，以服务式、帮扶式监管推动隐患根治，充分释放安责险事故预防效能。</w:t>
      </w:r>
    </w:p>
    <w:p w14:paraId="271EAAA5">
      <w:pPr>
        <w:bidi w:val="0"/>
        <w:rPr>
          <w:rFonts w:hint="eastAsia"/>
        </w:rPr>
      </w:pPr>
      <w:r>
        <w:rPr>
          <w:rFonts w:hint="eastAsia"/>
          <w:lang w:val="en-US" w:eastAsia="zh-CN"/>
        </w:rPr>
        <w:t>三、组织评估公示，完善激励约束机制</w:t>
      </w:r>
    </w:p>
    <w:p w14:paraId="7F78B81F">
      <w:pPr>
        <w:bidi w:val="0"/>
        <w:rPr>
          <w:rFonts w:hint="eastAsia"/>
        </w:rPr>
      </w:pPr>
      <w:r>
        <w:rPr>
          <w:rFonts w:hint="eastAsia"/>
          <w:lang w:val="en-US" w:eastAsia="zh-CN"/>
        </w:rPr>
        <w:t>应急管理部门、矿山安全监管部门要会同金融监管机构，加快建立安责险事故预防服务评估机制，对安责险事故预防服务进行科学有效评估，形成相应评估结果并向社会公示，推动以评估促规范、促提升。</w:t>
      </w:r>
    </w:p>
    <w:p w14:paraId="5CA72FDE">
      <w:pPr>
        <w:bidi w:val="0"/>
        <w:rPr>
          <w:rFonts w:hint="eastAsia"/>
        </w:rPr>
      </w:pPr>
      <w:r>
        <w:rPr>
          <w:rFonts w:hint="eastAsia"/>
          <w:lang w:val="en-US" w:eastAsia="zh-CN"/>
        </w:rPr>
        <w:t>四、扩大投保覆盖，提升资金使用效益</w:t>
      </w:r>
    </w:p>
    <w:p w14:paraId="5CAC015B">
      <w:pPr>
        <w:bidi w:val="0"/>
        <w:rPr>
          <w:rFonts w:hint="eastAsia"/>
        </w:rPr>
      </w:pPr>
      <w:r>
        <w:rPr>
          <w:rFonts w:hint="eastAsia"/>
          <w:lang w:val="en-US" w:eastAsia="zh-CN"/>
        </w:rPr>
        <w:t>应急管理部门、矿山安全监管部门在巩固四大高危行业领域基础上，要以安责险的制度优势吸引鼓励重点监管的工商贸等其他行业领域投保，鼓励保险机构为非高危行业领域的投保企业提供事故预防服务。保险机构要优化安责险承保流程，建立费率动态调整机制，费率调整可以根据被保险人的事故记录和等级、安全生产标准化建设情况、安全生产违法失信行为、配合整改事故隐患情况等因素综合确定，强化“安全即效益”正向激励。</w:t>
      </w:r>
    </w:p>
    <w:p w14:paraId="11F3524D">
      <w:pPr>
        <w:bidi w:val="0"/>
        <w:rPr>
          <w:rFonts w:hint="eastAsia"/>
        </w:rPr>
      </w:pPr>
      <w:r>
        <w:rPr>
          <w:rFonts w:hint="eastAsia"/>
          <w:lang w:val="en-US" w:eastAsia="zh-CN"/>
        </w:rPr>
        <w:t>五、加强宣传推广，营造共治良好氛围</w:t>
      </w:r>
    </w:p>
    <w:p w14:paraId="2A653B76">
      <w:pPr>
        <w:bidi w:val="0"/>
        <w:rPr>
          <w:rFonts w:hint="eastAsia"/>
        </w:rPr>
      </w:pPr>
      <w:r>
        <w:rPr>
          <w:rFonts w:hint="eastAsia"/>
          <w:lang w:val="en-US" w:eastAsia="zh-CN"/>
        </w:rPr>
        <w:t>各地要充分依托各类宣传媒介，加大安责险制度及配套办法、标准的宣传推广力度，引导企业准确把握安责险的各项规定要求；同时要系统梳理、深度提炼安责险在事故预防、理赔保障等方面的创新举措与实践成效，全面收集汇总安责险事故预防服务评估、隐患排查治理过程中形成的先进做法、特色路径和优秀案例，及时报送相关材料。应急管理部、金融监管总局和国家矿山安监局将定期择优遴选出示范性强、实效性好的优秀案例，进行全国通报推广，切实发挥典型引领作用。</w:t>
      </w:r>
    </w:p>
    <w:p w14:paraId="467EBCCA">
      <w:pPr>
        <w:bidi w:val="0"/>
        <w:rPr>
          <w:rFonts w:hint="eastAsia"/>
        </w:rPr>
      </w:pPr>
      <w:r>
        <w:rPr>
          <w:rFonts w:hint="eastAsia"/>
          <w:lang w:val="en-US" w:eastAsia="zh-CN"/>
        </w:rPr>
        <w:t> </w:t>
      </w:r>
    </w:p>
    <w:p w14:paraId="3BE5F976">
      <w:pPr>
        <w:bidi w:val="0"/>
        <w:rPr>
          <w:rFonts w:hint="eastAsia"/>
        </w:rPr>
      </w:pPr>
      <w:r>
        <w:rPr>
          <w:rFonts w:hint="eastAsia"/>
          <w:lang w:val="en-US" w:eastAsia="zh-CN"/>
        </w:rPr>
        <w:t> </w:t>
      </w:r>
    </w:p>
    <w:p w14:paraId="0140C4EE">
      <w:pPr>
        <w:bidi w:val="0"/>
        <w:rPr>
          <w:rFonts w:hint="eastAsia"/>
        </w:rPr>
      </w:pPr>
      <w:r>
        <w:rPr>
          <w:rFonts w:hint="eastAsia"/>
          <w:lang w:val="en-US" w:eastAsia="zh-CN"/>
        </w:rPr>
        <w:t>应急管理部办公厅</w:t>
      </w:r>
    </w:p>
    <w:p w14:paraId="08B141F9">
      <w:pPr>
        <w:bidi w:val="0"/>
        <w:rPr>
          <w:rFonts w:hint="eastAsia"/>
        </w:rPr>
      </w:pPr>
      <w:r>
        <w:rPr>
          <w:rFonts w:hint="eastAsia"/>
          <w:lang w:val="en-US" w:eastAsia="zh-CN"/>
        </w:rPr>
        <w:t>金融监管总局办公厅</w:t>
      </w:r>
    </w:p>
    <w:p w14:paraId="66E73BED">
      <w:pPr>
        <w:bidi w:val="0"/>
        <w:rPr>
          <w:rFonts w:hint="eastAsia"/>
        </w:rPr>
      </w:pPr>
      <w:r>
        <w:rPr>
          <w:rFonts w:hint="eastAsia"/>
          <w:lang w:val="en-US" w:eastAsia="zh-CN"/>
        </w:rPr>
        <w:t>国家矿山安监局综合司</w:t>
      </w:r>
    </w:p>
    <w:p w14:paraId="5A094DE4">
      <w:pPr>
        <w:bidi w:val="0"/>
        <w:rPr>
          <w:rFonts w:hint="eastAsia"/>
        </w:rPr>
      </w:pPr>
      <w:r>
        <w:rPr>
          <w:rFonts w:hint="eastAsia"/>
          <w:lang w:val="en-US" w:eastAsia="zh-CN"/>
        </w:rPr>
        <w:t>2026年9月29日</w:t>
      </w:r>
    </w:p>
    <w:p w14:paraId="02DC2C26">
      <w:pPr>
        <w:bidi w:val="0"/>
        <w:rPr>
          <w:rFonts w:hint="eastAsia"/>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515119"/>
    <w:rsid w:val="05EF58D6"/>
    <w:rsid w:val="0B0458CC"/>
    <w:rsid w:val="0D48145D"/>
    <w:rsid w:val="1DDC579E"/>
    <w:rsid w:val="26B07496"/>
    <w:rsid w:val="29882CBF"/>
    <w:rsid w:val="30C62B7E"/>
    <w:rsid w:val="32970B3A"/>
    <w:rsid w:val="364A5DC4"/>
    <w:rsid w:val="3A895E2E"/>
    <w:rsid w:val="448F43D9"/>
    <w:rsid w:val="47647EC3"/>
    <w:rsid w:val="4EE97FD1"/>
    <w:rsid w:val="563973AD"/>
    <w:rsid w:val="64782216"/>
    <w:rsid w:val="683434DB"/>
    <w:rsid w:val="6A274783"/>
    <w:rsid w:val="742A4ED3"/>
    <w:rsid w:val="79433C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880" w:firstLineChars="200"/>
      <w:jc w:val="both"/>
    </w:pPr>
    <w:rPr>
      <w:rFonts w:ascii="Times New Roman" w:hAnsi="Times New Roman" w:eastAsia="仿宋" w:cstheme="minorBidi"/>
      <w:kern w:val="2"/>
      <w:sz w:val="32"/>
      <w:szCs w:val="24"/>
      <w:lang w:val="en-US" w:eastAsia="zh-CN" w:bidi="ar-SA"/>
    </w:rPr>
  </w:style>
  <w:style w:type="paragraph" w:styleId="2">
    <w:name w:val="heading 1"/>
    <w:basedOn w:val="1"/>
    <w:next w:val="1"/>
    <w:qFormat/>
    <w:uiPriority w:val="0"/>
    <w:pPr>
      <w:keepNext/>
      <w:keepLines/>
      <w:spacing w:beforeLines="0" w:beforeAutospacing="0" w:afterLines="0" w:afterAutospacing="0" w:line="240" w:lineRule="auto"/>
      <w:ind w:firstLine="0" w:firstLineChars="0"/>
      <w:jc w:val="center"/>
      <w:outlineLvl w:val="0"/>
    </w:pPr>
    <w:rPr>
      <w:rFonts w:eastAsia="方正小标宋简体"/>
      <w:kern w:val="44"/>
      <w:sz w:val="44"/>
    </w:rPr>
  </w:style>
  <w:style w:type="paragraph" w:styleId="3">
    <w:name w:val="heading 2"/>
    <w:basedOn w:val="1"/>
    <w:next w:val="1"/>
    <w:unhideWhenUsed/>
    <w:qFormat/>
    <w:uiPriority w:val="0"/>
    <w:pPr>
      <w:keepNext/>
      <w:keepLines/>
      <w:spacing w:beforeLines="0" w:beforeAutospacing="0" w:afterLines="0" w:afterAutospacing="0" w:line="240" w:lineRule="auto"/>
      <w:jc w:val="center"/>
      <w:outlineLvl w:val="1"/>
    </w:pPr>
    <w:rPr>
      <w:rFonts w:ascii="Times New Roman" w:hAnsi="Times New Roman" w:eastAsia="黑体"/>
    </w:rPr>
  </w:style>
  <w:style w:type="paragraph" w:styleId="4">
    <w:name w:val="heading 3"/>
    <w:basedOn w:val="1"/>
    <w:next w:val="1"/>
    <w:semiHidden/>
    <w:unhideWhenUsed/>
    <w:qFormat/>
    <w:uiPriority w:val="0"/>
    <w:pPr>
      <w:keepNext/>
      <w:keepLines/>
      <w:spacing w:beforeLines="0" w:beforeAutospacing="0" w:afterLines="0" w:afterAutospacing="0" w:line="240" w:lineRule="auto"/>
      <w:outlineLvl w:val="2"/>
    </w:pPr>
    <w:rPr>
      <w:rFonts w:ascii="Times New Roman" w:hAnsi="Times New Roman" w:eastAsia="黑体"/>
      <w:sz w:val="30"/>
    </w:rPr>
  </w:style>
  <w:style w:type="paragraph" w:styleId="5">
    <w:name w:val="heading 4"/>
    <w:basedOn w:val="1"/>
    <w:next w:val="1"/>
    <w:unhideWhenUsed/>
    <w:qFormat/>
    <w:uiPriority w:val="0"/>
    <w:pPr>
      <w:keepNext/>
      <w:keepLines/>
      <w:spacing w:beforeLines="0" w:beforeAutospacing="0" w:afterLines="0" w:afterAutospacing="0" w:line="240" w:lineRule="auto"/>
      <w:ind w:firstLine="0" w:firstLineChars="0"/>
      <w:jc w:val="center"/>
      <w:outlineLvl w:val="3"/>
    </w:pPr>
    <w:rPr>
      <w:rFonts w:eastAsia="楷体"/>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277</Words>
  <Characters>287</Characters>
  <Lines>0</Lines>
  <Paragraphs>0</Paragraphs>
  <TotalTime>19</TotalTime>
  <ScaleCrop>false</ScaleCrop>
  <LinksUpToDate>false</LinksUpToDate>
  <CharactersWithSpaces>293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2026-05-12T06:50:00Z</dcterms:created>
  <dc:creator>Ted Chen</dc:creator>
  <cp:lastModifiedBy>玲俐</cp:lastModifiedBy>
  <dcterms:modified xsi:type="dcterms:W3CDTF">2026-10-08T01:27:25Z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eyJoZGlkIjoiZWVmNWYyZTg1YjQ0ZmQxNWIzMGY5NTBkZDcxNTc5MjUiLCJ1c2VySWQiOiI1Njg1OTMzNDAifQ==</vt:lpwstr>
  </property>
  <property fmtid="{D5CDD505-2E9C-101B-9397-08002B2CF9AE}" pid="4" name="ICV">
    <vt:lpwstr>BB22DF17499C4DF8856206AB3E3F077C_12</vt:lpwstr>
  </property>
</Properties>
</file>