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4DC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60" w:lineRule="atLeast"/>
        <w:ind w:left="0" w:right="0"/>
        <w:jc w:val="center"/>
        <w:rPr>
          <w:rFonts w:hint="default" w:ascii="Times New Roman" w:hAnsi="Times New Roman" w:cs="Times New Roman"/>
          <w:spacing w:val="0"/>
          <w:sz w:val="32"/>
          <w:szCs w:val="32"/>
        </w:rPr>
      </w:pPr>
      <w:r>
        <w:rPr>
          <w:rFonts w:ascii="方正小标宋简体" w:hAnsi="方正小标宋简体" w:eastAsia="方正小标宋简体" w:cs="方正小标宋简体"/>
          <w:i w:val="0"/>
          <w:iCs w:val="0"/>
          <w:caps w:val="0"/>
          <w:color w:val="333333"/>
          <w:spacing w:val="0"/>
          <w:sz w:val="44"/>
          <w:szCs w:val="44"/>
          <w:bdr w:val="none" w:color="auto" w:sz="0" w:space="0"/>
          <w:shd w:val="clear" w:fill="FFFFFF"/>
        </w:rPr>
        <w:t>市场监管总局</w:t>
      </w: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办公厅关于电站锅炉</w:t>
      </w:r>
    </w:p>
    <w:p w14:paraId="72B8C1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60" w:lineRule="atLeast"/>
        <w:ind w:left="0" w:right="0"/>
        <w:jc w:val="center"/>
        <w:rPr>
          <w:rFonts w:hint="default" w:ascii="Times New Roman" w:hAnsi="Times New Roman" w:cs="Times New Roman"/>
          <w:spacing w:val="0"/>
          <w:sz w:val="32"/>
          <w:szCs w:val="32"/>
        </w:rPr>
      </w:pP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典型事故情况的通报</w:t>
      </w:r>
    </w:p>
    <w:p w14:paraId="7268B3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jc w:val="center"/>
        <w:rPr>
          <w:rFonts w:hint="default" w:ascii="Times New Roman" w:hAnsi="Times New Roman" w:cs="Times New Roman"/>
          <w:spacing w:val="0"/>
          <w:sz w:val="32"/>
          <w:szCs w:val="32"/>
        </w:rPr>
      </w:pPr>
      <w:r>
        <w:rPr>
          <w:rFonts w:ascii="仿宋_GB2312" w:hAnsi="Times New Roman" w:eastAsia="仿宋_GB2312" w:cs="仿宋_GB2312"/>
          <w:i w:val="0"/>
          <w:iCs w:val="0"/>
          <w:caps w:val="0"/>
          <w:color w:val="333333"/>
          <w:spacing w:val="0"/>
          <w:sz w:val="44"/>
          <w:szCs w:val="44"/>
          <w:bdr w:val="none" w:color="auto" w:sz="0" w:space="0"/>
          <w:shd w:val="clear" w:fill="FFFFFF"/>
        </w:rPr>
        <w:t> </w:t>
      </w:r>
    </w:p>
    <w:p w14:paraId="3CB385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0"/>
        <w:jc w:val="both"/>
        <w:rPr>
          <w:rFonts w:hint="default" w:ascii="Times New Roman" w:hAnsi="Times New Roman" w:cs="Times New Roman"/>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各省、自治区、直辖市和新疆生产建设兵团市场监管局（厅、委），各有关单位：</w:t>
      </w:r>
    </w:p>
    <w:p w14:paraId="6F6F6F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近年来，国内外发生多起电站锅炉事故，造成重大人员伤亡和财产损失，反映出电站锅炉使用管理中仍存在问题短板。为深刻吸取相关事故教训，举一反三排查整治锅炉安全隐患，坚决防范同类事故发生，现就有关事项通报如下：</w:t>
      </w:r>
    </w:p>
    <w:p w14:paraId="60141B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ascii="黑体" w:hAnsi="宋体" w:eastAsia="黑体" w:cs="黑体"/>
          <w:i w:val="0"/>
          <w:iCs w:val="0"/>
          <w:caps w:val="0"/>
          <w:color w:val="333333"/>
          <w:spacing w:val="0"/>
          <w:sz w:val="32"/>
          <w:szCs w:val="32"/>
          <w:bdr w:val="none" w:color="auto" w:sz="0" w:space="0"/>
          <w:shd w:val="clear" w:fill="FFFFFF"/>
        </w:rPr>
        <w:t>一、典型事故基本情况</w:t>
      </w:r>
    </w:p>
    <w:p w14:paraId="13A45B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default" w:ascii="Times New Roman" w:hAnsi="Times New Roman" w:eastAsia="仿宋_GB2312" w:cs="Times New Roman"/>
          <w:i w:val="0"/>
          <w:iCs w:val="0"/>
          <w:caps w:val="0"/>
          <w:color w:val="333333"/>
          <w:spacing w:val="0"/>
          <w:sz w:val="32"/>
          <w:szCs w:val="32"/>
          <w:bdr w:val="none" w:color="auto" w:sz="0" w:space="0"/>
          <w:shd w:val="clear" w:fill="FFFFFF"/>
        </w:rPr>
        <w:t>2023</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月</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9</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日，新疆某公司循环流化床锅炉发生炉膛爆炸，造成</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4</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人死亡、</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人受伤。事故原因为企业违规解除锅炉主燃料跳闸（</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MFT</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安全联锁保护，在床温远低于规程要求、燃煤无法正常燃烧的情况下违规投煤，导致大量易燃易爆气体积聚，达到爆炸极限后遇高温爆燃。涉事企业安全管理混乱、作业人员违章作业、安全教育培训缺失、检测机构作业不规范等是事故的主要原因。</w:t>
      </w:r>
    </w:p>
    <w:p w14:paraId="36F2AB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此外，据公开报道，</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2026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4</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月</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14</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日，国外某发电厂煤粉锅炉发生爆炸，造成</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20</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人死亡、</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人受伤。事故原因为一次风机出现故障，作业人员未紧急降负荷或停炉，反而继续加煤提负荷，过量煤粉进入炉膛引发超压，致使主蒸汽管道破裂。</w:t>
      </w:r>
    </w:p>
    <w:p w14:paraId="6C1855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eastAsia" w:ascii="黑体" w:hAnsi="宋体" w:eastAsia="黑体" w:cs="黑体"/>
          <w:i w:val="0"/>
          <w:iCs w:val="0"/>
          <w:caps w:val="0"/>
          <w:color w:val="333333"/>
          <w:spacing w:val="0"/>
          <w:sz w:val="32"/>
          <w:szCs w:val="32"/>
          <w:bdr w:val="none" w:color="auto" w:sz="0" w:space="0"/>
          <w:shd w:val="clear" w:fill="FFFFFF"/>
        </w:rPr>
        <w:t>二、反映的问题</w:t>
      </w:r>
    </w:p>
    <w:p w14:paraId="08798C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相关事故反映出电站锅炉使用管理中存在的短板和漏洞，主要包括：</w:t>
      </w:r>
    </w:p>
    <w:p w14:paraId="4767CD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ascii="楷体_GB2312" w:hAnsi="Times New Roman" w:eastAsia="楷体_GB2312" w:cs="楷体_GB2312"/>
          <w:i w:val="0"/>
          <w:iCs w:val="0"/>
          <w:caps w:val="0"/>
          <w:color w:val="333333"/>
          <w:spacing w:val="0"/>
          <w:sz w:val="32"/>
          <w:szCs w:val="32"/>
          <w:bdr w:val="none" w:color="auto" w:sz="0" w:space="0"/>
          <w:shd w:val="clear" w:fill="FFFFFF"/>
        </w:rPr>
        <w:t>一是安全联锁保护失效。</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企业擅自解除保护装置、随意短接强制信号，或长期不按要求定期校验安全附件，导致锅炉炉膛压力保护、灭火保护等核心安全保护功能失效。</w:t>
      </w:r>
    </w:p>
    <w:p w14:paraId="08F059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default" w:ascii="楷体_GB2312" w:hAnsi="Times New Roman" w:eastAsia="楷体_GB2312" w:cs="楷体_GB2312"/>
          <w:i w:val="0"/>
          <w:iCs w:val="0"/>
          <w:caps w:val="0"/>
          <w:color w:val="333333"/>
          <w:spacing w:val="0"/>
          <w:sz w:val="32"/>
          <w:szCs w:val="32"/>
          <w:bdr w:val="none" w:color="auto" w:sz="0" w:space="0"/>
          <w:shd w:val="clear" w:fill="FFFFFF"/>
        </w:rPr>
        <w:t>二是管理制度、操作规程不健全。</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企业的锅炉操作规程与实际工况脱节，安全管理制度及应急处置措施不健全，缺少对低负荷、异常工况下操作限值和紧急处置的相关规定。</w:t>
      </w:r>
    </w:p>
    <w:p w14:paraId="588659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default" w:ascii="楷体_GB2312" w:hAnsi="Times New Roman" w:eastAsia="楷体_GB2312" w:cs="楷体_GB2312"/>
          <w:i w:val="0"/>
          <w:iCs w:val="0"/>
          <w:caps w:val="0"/>
          <w:color w:val="333333"/>
          <w:spacing w:val="0"/>
          <w:sz w:val="32"/>
          <w:szCs w:val="32"/>
          <w:bdr w:val="none" w:color="auto" w:sz="0" w:space="0"/>
          <w:shd w:val="clear" w:fill="FFFFFF"/>
        </w:rPr>
        <w:t>三是作业人员专业能力不足、违章操作。</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作业人员不掌握锅炉燃烧特性、异常工况处置等基本要求，安全意识和应急处置能力薄弱，难以应对突发险情。相关人员无视运行规程和设备报警，持续违章操作，未按规程及时采取降负荷、停炉等处置措施，反而带病提升出力或违规投煤，致使最终事故发生。</w:t>
      </w:r>
    </w:p>
    <w:p w14:paraId="707FC8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eastAsia" w:ascii="黑体" w:hAnsi="宋体" w:eastAsia="黑体" w:cs="黑体"/>
          <w:i w:val="0"/>
          <w:iCs w:val="0"/>
          <w:caps w:val="0"/>
          <w:color w:val="333333"/>
          <w:spacing w:val="0"/>
          <w:sz w:val="32"/>
          <w:szCs w:val="32"/>
          <w:bdr w:val="none" w:color="auto" w:sz="0" w:space="0"/>
          <w:shd w:val="clear" w:fill="FFFFFF"/>
        </w:rPr>
        <w:t>三、全面强化电站锅炉安全工作</w:t>
      </w:r>
    </w:p>
    <w:p w14:paraId="65AA0B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各电站锅炉使用单位、检验检测机构和安全监管部门要深刻吸取上述事故教训，深入排查整治同类隐患，重点落实以下要求：</w:t>
      </w:r>
    </w:p>
    <w:p w14:paraId="76CA10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default" w:ascii="楷体_GB2312" w:hAnsi="Times New Roman" w:eastAsia="楷体_GB2312" w:cs="楷体_GB2312"/>
          <w:i w:val="0"/>
          <w:iCs w:val="0"/>
          <w:caps w:val="0"/>
          <w:color w:val="333333"/>
          <w:spacing w:val="0"/>
          <w:sz w:val="32"/>
          <w:szCs w:val="32"/>
          <w:bdr w:val="none" w:color="auto" w:sz="0" w:space="0"/>
          <w:shd w:val="clear" w:fill="FFFFFF"/>
        </w:rPr>
        <w:t>（一）全面压实使用单位主体责任。</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使用单位应严格遵守法律法规和安全技术规范，全面落实锅炉使用单位主体责任。健全锅炉运行操作规程，对深度调峰、安全阀校验等情况，制定有针对性的技术措施。严格落实锅炉定期检验制度，确保锅炉灭火保护、炉膛压力保护等保护装置可靠有效。设备出现异常报警、燃烧工况不稳时，应立即排查处置，严禁超负荷、带隐患运行。循环流化床锅炉要严格管控床温，低于规定投煤温度时严禁投煤，防止因不完全燃烧引发炉膛爆燃。严禁擅自解除锅炉安全联锁保护功能，因设备缺陷等原因被迫退出运行的，应事先制定有针对性的安全措施，严格履行审批手续，安排专人全程监护，并及时恢复。</w:t>
      </w:r>
    </w:p>
    <w:p w14:paraId="73B7FA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both"/>
        <w:rPr>
          <w:rFonts w:hint="default" w:ascii="Times New Roman" w:hAnsi="Times New Roman" w:cs="Times New Roman"/>
          <w:spacing w:val="0"/>
          <w:sz w:val="32"/>
          <w:szCs w:val="32"/>
        </w:rPr>
      </w:pPr>
      <w:r>
        <w:rPr>
          <w:rFonts w:hint="default" w:ascii="楷体_GB2312" w:hAnsi="Times New Roman" w:eastAsia="楷体_GB2312" w:cs="楷体_GB2312"/>
          <w:i w:val="0"/>
          <w:iCs w:val="0"/>
          <w:caps w:val="0"/>
          <w:color w:val="333333"/>
          <w:spacing w:val="0"/>
          <w:sz w:val="32"/>
          <w:szCs w:val="32"/>
          <w:bdr w:val="none" w:color="auto" w:sz="0" w:space="0"/>
          <w:shd w:val="clear" w:fill="FFFFFF"/>
        </w:rPr>
        <w:t>（二）着力提升作业人员安全意识和能力。</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使用单位应强化锅炉作业人员安全教育和技能培训，严格持证上岗，常态化开展事故案例警示教育，确保作业人员熟练掌握设备原理、操作规范和应急处置流程。完善锅炉事故专项应急预案，定期组织实战演练，切实提升作业人员初期险情处置和避险能力。</w:t>
      </w:r>
    </w:p>
    <w:p w14:paraId="4A1C8D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94" w:lineRule="atLeast"/>
        <w:ind w:left="0" w:right="0" w:firstLine="632"/>
        <w:jc w:val="left"/>
        <w:rPr>
          <w:rFonts w:hint="default" w:ascii="Times New Roman" w:hAnsi="Times New Roman" w:cs="Times New Roman"/>
          <w:spacing w:val="0"/>
          <w:sz w:val="32"/>
          <w:szCs w:val="32"/>
        </w:rPr>
      </w:pPr>
      <w:r>
        <w:rPr>
          <w:rFonts w:hint="default" w:ascii="楷体_GB2312" w:hAnsi="Times New Roman" w:eastAsia="楷体_GB2312" w:cs="楷体_GB2312"/>
          <w:i w:val="0"/>
          <w:iCs w:val="0"/>
          <w:caps w:val="0"/>
          <w:color w:val="333333"/>
          <w:spacing w:val="0"/>
          <w:sz w:val="32"/>
          <w:szCs w:val="32"/>
          <w:bdr w:val="none" w:color="auto" w:sz="0" w:space="0"/>
          <w:shd w:val="clear" w:fill="FFFFFF"/>
        </w:rPr>
        <w:t>（三）严格规范检验检测过程。</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检验检测机构应严格依据规程规范开展检验检测，不得缺项漏项、降低标准。针对深度调峰运行锅炉，应核查使用单位专项技术措施落实情况，加强对受热面、集箱、安全阀及主要承压部件的检验检测。对发现的安全隐患，应及时出具检验意见通知书，明确整改要求并跟踪确认。发现重大事故隐患的，应当立即报告当地市场监管部门。同时，应充分发挥技术支撑作用，指导使用单位完善深度调峰运行安全措施，提升隐患排查治理的针对性和有效性。</w:t>
      </w:r>
    </w:p>
    <w:p w14:paraId="66DDEE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default" w:ascii="楷体_GB2312" w:hAnsi="Times New Roman" w:eastAsia="楷体_GB2312" w:cs="楷体_GB2312"/>
          <w:i w:val="0"/>
          <w:iCs w:val="0"/>
          <w:caps w:val="0"/>
          <w:color w:val="333333"/>
          <w:spacing w:val="0"/>
          <w:sz w:val="32"/>
          <w:szCs w:val="32"/>
          <w:bdr w:val="none" w:color="auto" w:sz="0" w:space="0"/>
          <w:shd w:val="clear" w:fill="FFFFFF"/>
        </w:rPr>
        <w:t>（四）加大执法检查力度。</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市场监管部门应将电站锅炉列为重点监管对象，严厉查处未经检验使用、安全附件超期未校验、擅自解除联锁保护、作业人员无证上岗等违法违规行为。</w:t>
      </w:r>
    </w:p>
    <w:p w14:paraId="13B22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近年来，火电机组深度调峰日趋频繁，电站锅炉运行安全风险明显增加。为切实防范化解安全风险，请各省级市场监管部门将本通报传达至辖区内电站锅炉使用单位及相关检验检测机构，结合实际抓好贯彻落实，坚决守住特种设备安全底线。</w:t>
      </w:r>
    </w:p>
    <w:p w14:paraId="1A9A61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25D6DB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0E6597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2552E5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074" w:firstLine="0"/>
        <w:jc w:val="right"/>
        <w:rPr>
          <w:rFonts w:hint="default" w:ascii="Times New Roman" w:hAnsi="Times New Roman" w:cs="Times New Roman"/>
          <w:i w:val="0"/>
          <w:iCs w:val="0"/>
          <w:caps w:val="0"/>
          <w:color w:val="333333"/>
          <w:spacing w:val="0"/>
          <w:sz w:val="32"/>
          <w:szCs w:val="32"/>
        </w:rPr>
      </w:pPr>
      <w:r>
        <w:rPr>
          <w:rFonts w:hint="default" w:ascii="Times New Roman" w:hAnsi="Times New Roman" w:cs="Times New Roman"/>
          <w:i w:val="0"/>
          <w:iCs w:val="0"/>
          <w:caps w:val="0"/>
          <w:color w:val="333333"/>
          <w:spacing w:val="0"/>
          <w:sz w:val="32"/>
          <w:szCs w:val="32"/>
          <w:bdr w:val="none" w:color="auto" w:sz="0" w:space="0"/>
          <w:shd w:val="clear" w:fill="FFFFFF"/>
        </w:rPr>
        <w:t>    </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市场监管总局办公厅</w:t>
      </w:r>
    </w:p>
    <w:p w14:paraId="585E0B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264" w:firstLine="0"/>
        <w:jc w:val="right"/>
        <w:rPr>
          <w:rFonts w:hint="default" w:ascii="Times New Roman" w:hAnsi="Times New Roman" w:cs="Times New Roman"/>
          <w:i w:val="0"/>
          <w:iCs w:val="0"/>
          <w:caps w:val="0"/>
          <w:color w:val="333333"/>
          <w:spacing w:val="0"/>
          <w:sz w:val="32"/>
          <w:szCs w:val="32"/>
        </w:rPr>
      </w:pPr>
      <w:r>
        <w:rPr>
          <w:rFonts w:hint="default" w:ascii="Times New Roman" w:hAnsi="Times New Roman" w:cs="Times New Roman"/>
          <w:i w:val="0"/>
          <w:iCs w:val="0"/>
          <w:caps w:val="0"/>
          <w:color w:val="333333"/>
          <w:spacing w:val="0"/>
          <w:sz w:val="32"/>
          <w:szCs w:val="32"/>
          <w:bdr w:val="none" w:color="auto" w:sz="0" w:space="0"/>
          <w:shd w:val="clear" w:fill="FFFFFF"/>
        </w:rPr>
        <w:t>    </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2026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8</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月</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日</w:t>
      </w:r>
    </w:p>
    <w:p w14:paraId="6F25D61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8C2C3D-C78F-44AA-A471-C18F99F5D6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A1C1EE33-7A4B-4DF8-93F4-CAD2C9DEAD80}"/>
  </w:font>
  <w:font w:name="仿宋_GB2312">
    <w:panose1 w:val="02010609030101010101"/>
    <w:charset w:val="86"/>
    <w:family w:val="auto"/>
    <w:pitch w:val="default"/>
    <w:sig w:usb0="00000001" w:usb1="080E0000" w:usb2="00000000" w:usb3="00000000" w:csb0="00040000" w:csb1="00000000"/>
    <w:embedRegular r:id="rId3" w:fontKey="{B6EE5103-26CE-4583-9CEC-4A517366B2EA}"/>
  </w:font>
  <w:font w:name="楷体_GB2312">
    <w:altName w:val="楷体"/>
    <w:panose1 w:val="00000000000000000000"/>
    <w:charset w:val="00"/>
    <w:family w:val="auto"/>
    <w:pitch w:val="default"/>
    <w:sig w:usb0="00000000" w:usb1="00000000" w:usb2="00000000" w:usb3="00000000" w:csb0="00000000" w:csb1="00000000"/>
    <w:embedRegular r:id="rId4" w:fontKey="{E1ABAE4A-A608-408F-A1C8-1BBA4BE0574D}"/>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27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2026-08-31T07:33:20Z</dcterms:created>
  <dc:creator>Ted Chen</dc:creator>
  <cp:lastModifiedBy>玲俐</cp:lastModifiedBy>
  <dcterms:modified xsi:type="dcterms:W3CDTF">2026-08-31T07:33:25Z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8E3C4AB7CF7B42D8842374208BB41F55_12</vt:lpwstr>
  </property>
</Properties>
</file>