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D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default" w:ascii="Times New Roman" w:hAnsi="Times New Roman" w:cs="Times New Roman"/>
          <w:sz w:val="32"/>
          <w:szCs w:val="32"/>
        </w:rPr>
      </w:pPr>
      <w:r>
        <w:rPr>
          <w:rFonts w:ascii="方正小标宋_GBK" w:hAnsi="方正小标宋_GBK" w:eastAsia="方正小标宋_GBK" w:cs="方正小标宋_GBK"/>
          <w:spacing w:val="0"/>
          <w:sz w:val="44"/>
          <w:szCs w:val="44"/>
          <w:bdr w:val="none" w:color="auto" w:sz="0" w:space="0"/>
        </w:rPr>
        <w:t>市场监管总局 住房城乡建设部关于印发</w:t>
      </w:r>
    </w:p>
    <w:p w14:paraId="08DDF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spacing w:val="0"/>
          <w:sz w:val="44"/>
          <w:szCs w:val="44"/>
          <w:bdr w:val="none" w:color="auto" w:sz="0" w:space="0"/>
        </w:rPr>
        <w:t>《室内空气甲醛治理和检测乱象</w:t>
      </w:r>
    </w:p>
    <w:p w14:paraId="1A19F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default" w:ascii="Times New Roman" w:hAnsi="Times New Roman" w:cs="Times New Roman"/>
          <w:sz w:val="32"/>
          <w:szCs w:val="32"/>
        </w:rPr>
      </w:pPr>
      <w:r>
        <w:rPr>
          <w:rFonts w:hint="eastAsia" w:ascii="方正小标宋_GBK" w:hAnsi="方正小标宋_GBK" w:eastAsia="方正小标宋_GBK" w:cs="方正小标宋_GBK"/>
          <w:spacing w:val="0"/>
          <w:sz w:val="44"/>
          <w:szCs w:val="44"/>
          <w:bdr w:val="none" w:color="auto" w:sz="0" w:space="0"/>
        </w:rPr>
        <w:t>整治工作方案》的通知</w:t>
      </w:r>
    </w:p>
    <w:p w14:paraId="6D390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default" w:ascii="Times New Roman" w:hAnsi="Times New Roman" w:cs="Times New Roman"/>
          <w:sz w:val="32"/>
          <w:szCs w:val="32"/>
        </w:rPr>
      </w:pPr>
    </w:p>
    <w:p w14:paraId="1F60D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hint="default" w:ascii="Times New Roman" w:hAnsi="Times New Roman" w:cs="Times New Roman"/>
          <w:spacing w:val="0"/>
          <w:sz w:val="32"/>
          <w:szCs w:val="32"/>
          <w:bdr w:val="none" w:color="auto" w:sz="0" w:space="0"/>
        </w:rPr>
        <w:t> </w:t>
      </w:r>
    </w:p>
    <w:p w14:paraId="62EDA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ascii="仿宋_GB2312" w:hAnsi="Times New Roman" w:eastAsia="仿宋_GB2312" w:cs="仿宋_GB2312"/>
          <w:spacing w:val="0"/>
          <w:sz w:val="32"/>
          <w:szCs w:val="32"/>
          <w:bdr w:val="none" w:color="auto" w:sz="0" w:space="0"/>
        </w:rPr>
        <w:t> </w:t>
      </w:r>
    </w:p>
    <w:p w14:paraId="72802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各省、自治区、直辖市和新疆生产建设兵团市场监管局（厅、委）、住房城乡建设厅（委）：</w:t>
      </w:r>
    </w:p>
    <w:p w14:paraId="43158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现将《室内空气甲醛治理和检测乱象整治工作方案》印发给你们，请结合实际认真贯彻落实。</w:t>
      </w:r>
    </w:p>
    <w:p w14:paraId="2C1A9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38546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21E75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766ED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1264"/>
        <w:jc w:val="center"/>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市场监管总局         住房城乡建设部</w:t>
      </w:r>
    </w:p>
    <w:p w14:paraId="35D97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4740"/>
        <w:jc w:val="center"/>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2026年6月2日</w:t>
      </w:r>
    </w:p>
    <w:p w14:paraId="7062F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2249E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7C909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 </w:t>
      </w:r>
    </w:p>
    <w:p w14:paraId="74C54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（此件公开发布）</w:t>
      </w:r>
    </w:p>
    <w:p w14:paraId="072D0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7" w:lineRule="atLeast"/>
        <w:ind w:left="0" w:right="0" w:firstLine="632"/>
        <w:jc w:val="both"/>
        <w:rPr>
          <w:rFonts w:hint="default" w:ascii="Times New Roman" w:hAnsi="Times New Roman" w:cs="Times New Roman"/>
          <w:sz w:val="32"/>
          <w:szCs w:val="32"/>
        </w:rPr>
      </w:pPr>
    </w:p>
    <w:p w14:paraId="7B8F3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sz w:val="27"/>
          <w:szCs w:val="27"/>
        </w:rPr>
      </w:pPr>
      <w:r>
        <w:rPr>
          <w:rFonts w:hint="eastAsia" w:ascii="仿宋_GB2312" w:hAnsi="宋体" w:eastAsia="仿宋_GB2312" w:cs="仿宋_GB2312"/>
          <w:spacing w:val="0"/>
          <w:sz w:val="24"/>
          <w:szCs w:val="24"/>
          <w:bdr w:val="none" w:color="auto" w:sz="0" w:space="0"/>
        </w:rPr>
        <w:t> </w:t>
      </w:r>
    </w:p>
    <w:p w14:paraId="79151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rPr>
          <w:rFonts w:hint="default" w:ascii="Times New Roman" w:hAnsi="Times New Roman" w:cs="Times New Roman"/>
          <w:sz w:val="32"/>
          <w:szCs w:val="32"/>
        </w:rPr>
      </w:pPr>
      <w:r>
        <w:rPr>
          <w:rFonts w:ascii="方正小标宋简体" w:hAnsi="方正小标宋简体" w:eastAsia="方正小标宋简体" w:cs="方正小标宋简体"/>
          <w:spacing w:val="0"/>
          <w:sz w:val="44"/>
          <w:szCs w:val="44"/>
          <w:bdr w:val="none" w:color="auto" w:sz="0" w:space="0"/>
        </w:rPr>
        <w:t>室内空气甲醛治理和检测乱象</w:t>
      </w:r>
    </w:p>
    <w:p w14:paraId="7B41A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rPr>
          <w:rFonts w:hint="default" w:ascii="Times New Roman" w:hAnsi="Times New Roman" w:cs="Times New Roman"/>
          <w:sz w:val="32"/>
          <w:szCs w:val="32"/>
        </w:rPr>
      </w:pPr>
      <w:r>
        <w:rPr>
          <w:rFonts w:hint="eastAsia" w:ascii="方正小标宋简体" w:hAnsi="方正小标宋简体" w:eastAsia="方正小标宋简体" w:cs="方正小标宋简体"/>
          <w:spacing w:val="0"/>
          <w:sz w:val="44"/>
          <w:szCs w:val="44"/>
          <w:bdr w:val="none" w:color="auto" w:sz="0" w:space="0"/>
        </w:rPr>
        <w:t>整治工作方案</w:t>
      </w:r>
    </w:p>
    <w:p w14:paraId="13442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872"/>
        <w:jc w:val="both"/>
        <w:rPr>
          <w:rFonts w:hint="default" w:ascii="Times New Roman" w:hAnsi="Times New Roman" w:cs="Times New Roman"/>
          <w:sz w:val="32"/>
          <w:szCs w:val="32"/>
        </w:rPr>
      </w:pPr>
      <w:r>
        <w:rPr>
          <w:rFonts w:hint="eastAsia" w:ascii="方正小标宋简体" w:hAnsi="方正小标宋简体" w:eastAsia="方正小标宋简体" w:cs="方正小标宋简体"/>
          <w:spacing w:val="0"/>
          <w:sz w:val="44"/>
          <w:szCs w:val="44"/>
          <w:bdr w:val="none" w:color="auto" w:sz="0" w:space="0"/>
        </w:rPr>
        <w:t> </w:t>
      </w:r>
    </w:p>
    <w:p w14:paraId="54D91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为深入整治室内空气甲醛治理和检测乱象，切实保障人民群众身体健康和消费权益，推动家装行业高质量发展，结合当前行业突出问题及工作实际，制定本方案。</w:t>
      </w:r>
    </w:p>
    <w:p w14:paraId="084AD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ascii="黑体" w:hAnsi="宋体" w:eastAsia="黑体" w:cs="黑体"/>
          <w:spacing w:val="0"/>
          <w:sz w:val="32"/>
          <w:szCs w:val="32"/>
          <w:bdr w:val="none" w:color="auto" w:sz="0" w:space="0"/>
        </w:rPr>
        <w:t>一、总体要求</w:t>
      </w:r>
    </w:p>
    <w:p w14:paraId="19BE7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紧扣质量强国、健康中国和“好房子”建设要求，坚持问题导向、目标引领，坚持源头治理、综合施策，坚持打建结合、着眼长远，聚焦室内空气甲醛治理和检测领域突出问题，开展集中整治行动，完善全链条风险防控模式，构建全过程、多维度、常态化的治理体系，推动家装产业链质量提升，努力实现“规范治理、诚信检测、放心消费、安心居住”的目标，切实净化市场环境。</w:t>
      </w:r>
    </w:p>
    <w:p w14:paraId="26ABE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二、主要措施</w:t>
      </w:r>
    </w:p>
    <w:p w14:paraId="2017C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ascii="楷体_GB2312" w:hAnsi="Times New Roman" w:eastAsia="楷体_GB2312" w:cs="楷体_GB2312"/>
          <w:spacing w:val="0"/>
          <w:sz w:val="32"/>
          <w:szCs w:val="32"/>
          <w:bdr w:val="none" w:color="auto" w:sz="0" w:space="0"/>
        </w:rPr>
        <w:t>（一）重拳打击违法行为</w:t>
      </w:r>
    </w:p>
    <w:p w14:paraId="66AA3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1.严厉打击检测报告造假行为。聚焦甲醛检测机构和治理企业伪造检测数据、篡改检测结果、出具虚假报告等问题，加大甲醛检测机构监督抽查力度，严肃查处检验检测违法违规行为，对严重违法机构依法吊销资质认定证书，列入市场监管严重违法失信名单；涉及刑事犯罪的，移送司法机关处理。</w:t>
      </w:r>
      <w:r>
        <w:rPr>
          <w:rFonts w:hint="default" w:ascii="楷体_GB2312" w:hAnsi="Times New Roman" w:eastAsia="楷体_GB2312" w:cs="楷体_GB2312"/>
          <w:spacing w:val="0"/>
          <w:sz w:val="32"/>
          <w:szCs w:val="32"/>
          <w:bdr w:val="none" w:color="auto" w:sz="0" w:space="0"/>
        </w:rPr>
        <w:t>（市场监管总局）</w:t>
      </w:r>
    </w:p>
    <w:p w14:paraId="5EAA9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2.坚决整治虚假营销与价格违法行为。规范网络营销、测评等活动，及时清理违规信息。严格平台入驻审核流程，清理下架违规商品信息。加强广告监管，依法查处发布违法广告的行为。依法查处虚假、夸大宣传营销以及不按规定明码标价、价格欺诈等违法行为。</w:t>
      </w:r>
      <w:r>
        <w:rPr>
          <w:rFonts w:hint="default" w:ascii="楷体_GB2312" w:hAnsi="Times New Roman" w:eastAsia="楷体_GB2312" w:cs="楷体_GB2312"/>
          <w:spacing w:val="0"/>
          <w:sz w:val="32"/>
          <w:szCs w:val="32"/>
          <w:bdr w:val="none" w:color="auto" w:sz="0" w:space="0"/>
        </w:rPr>
        <w:t>（市场监管总局）</w:t>
      </w:r>
    </w:p>
    <w:p w14:paraId="43366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（二）深入开展靶向治理</w:t>
      </w:r>
    </w:p>
    <w:p w14:paraId="2D7F7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3.整治甲醛治理企业和检测机构利益捆绑。甲醛治理企业不得强制要求消费者选择特定甲醛检测机构，并对其在经营活动中使用或展示的甲醛检测报告的真实性、合法性负责，依法承担相应的法律责任和民事赔偿责任。甲醛检测机构不得承接治理业务，不得与治理企业存在利益关联，不得向消费者推荐、指定甲醛治理企业及产品，或者以监制、监销等方式参与甲醛治理经营活动。对违反规定的机构，依法采取责令改正、罚款、暂停或吊销资质等处理措施，相关信息纳入信用记录。</w:t>
      </w:r>
      <w:r>
        <w:rPr>
          <w:rFonts w:hint="default" w:ascii="楷体_GB2312" w:hAnsi="Times New Roman" w:eastAsia="楷体_GB2312" w:cs="楷体_GB2312"/>
          <w:spacing w:val="0"/>
          <w:sz w:val="32"/>
          <w:szCs w:val="32"/>
          <w:bdr w:val="none" w:color="auto" w:sz="0" w:space="0"/>
        </w:rPr>
        <w:t>（市场监管总局）</w:t>
      </w:r>
    </w:p>
    <w:p w14:paraId="46021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4.规范住宅及办公场所室内空气质量检测行为。督促甲醛检测机构严格选取适用标准，不得使用非标方法；严格按照相关标准开展抽样和甲醛检测，不得擅自变更采样点、采样数量及采样条件。采用《室内空气质量标准》进行甲醛检测的，应规范开展现场采样和检测工作，严格落实设置空白对照、校准采样泵、采样时间、布点、实验室分析记录等要求。</w:t>
      </w:r>
      <w:r>
        <w:rPr>
          <w:rFonts w:hint="default" w:ascii="楷体_GB2312" w:hAnsi="Times New Roman" w:eastAsia="楷体_GB2312" w:cs="楷体_GB2312"/>
          <w:spacing w:val="0"/>
          <w:sz w:val="32"/>
          <w:szCs w:val="32"/>
          <w:bdr w:val="none" w:color="auto" w:sz="0" w:space="0"/>
        </w:rPr>
        <w:t>（市场监管总局）</w:t>
      </w:r>
    </w:p>
    <w:p w14:paraId="02FA3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5.严格建筑施工室内环境检测管理。新建、改建和扩建城镇房屋建筑工程竣工交付使用前，应严格按照标准规范进行室内空气污染物检测，未进行检测的严禁投入使用。建设单位要依法委托具有主体结构及装饰装修专项资质的建设工程质量检测机构，依据室内环境相关标准，选择与标准匹配的方法、设备开展室内环境检测活动。建设工程质量检测机构对检测数据和检测报告的真实性、准确性负责，不得超出许可范围出具检测报告，不得篡改或伪造检测报告。任何单位和个人不得明示或者暗示工程质量检测机构出具虚假检测报告。</w:t>
      </w:r>
      <w:r>
        <w:rPr>
          <w:rFonts w:hint="default" w:ascii="楷体_GB2312" w:hAnsi="Times New Roman" w:eastAsia="楷体_GB2312" w:cs="楷体_GB2312"/>
          <w:spacing w:val="0"/>
          <w:sz w:val="32"/>
          <w:szCs w:val="32"/>
          <w:bdr w:val="none" w:color="auto" w:sz="0" w:space="0"/>
        </w:rPr>
        <w:t>（住房城乡建设部）</w:t>
      </w:r>
    </w:p>
    <w:p w14:paraId="3FF65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6.健全甲醛检测机构评价机制。制定室内空气甲醛检测工作指引，进一步明确甲醛检测机构基本条件、人员能力与设备要求，指导甲醛检测机构依法依规、科学规范地开展检测全流程工作。组织开展甲醛检测机构能力验证和信用评价，对不合格机构责令整改；建立甲醛检测机构信用记录，依法归集资质合规性、检测报告抽查结果、消费者投诉等信息，实行“守信激励、失信惩戒”。</w:t>
      </w:r>
    </w:p>
    <w:p w14:paraId="163B1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（市场监管总局）</w:t>
      </w:r>
    </w:p>
    <w:p w14:paraId="4937E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7.加强消费者权益保障。推行室内空气甲醛治理与检测服务合同示范文本，明确治理目标、服务内容、检测标准、服务价格、质保期限、违约责任等核心条款，加大对该领域利用不公平格式条款侵害消费者权益行为的监管力度，保障交易双方合法权益，维护交易公平。对侵害消费者权益的企业，依法责令改正、赔偿损失。</w:t>
      </w:r>
      <w:r>
        <w:rPr>
          <w:rFonts w:hint="default" w:ascii="楷体_GB2312" w:hAnsi="Times New Roman" w:eastAsia="楷体_GB2312" w:cs="楷体_GB2312"/>
          <w:spacing w:val="0"/>
          <w:sz w:val="32"/>
          <w:szCs w:val="32"/>
          <w:bdr w:val="none" w:color="auto" w:sz="0" w:space="0"/>
        </w:rPr>
        <w:t>（市场监管总局）</w:t>
      </w:r>
    </w:p>
    <w:p w14:paraId="59961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（三）推动家装产业链质量提升</w:t>
      </w:r>
    </w:p>
    <w:p w14:paraId="42EB3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8.推进家装产业质量强链。开展家庭装饰装修材料产业质量强链行动，全链条提升家居建材产品质量安全水平，组织有关技术机构和龙头企业等组建家装产业链质量技术创新联合体，开展家装室内空气质量评估预测算法等关键技术攻关，强化科技赋能。探索开展“好家装”等相关质量评价，推动加强设计、施工、材料全流程质量管理。指导相关行业协会、诚信联盟建立“家装材料优质名单”，筛选环保达标、质量稳定的建材，通过家装平台等渠道发布。</w:t>
      </w:r>
      <w:r>
        <w:rPr>
          <w:rFonts w:hint="default" w:ascii="楷体_GB2312" w:hAnsi="Times New Roman" w:eastAsia="楷体_GB2312" w:cs="楷体_GB2312"/>
          <w:spacing w:val="0"/>
          <w:sz w:val="32"/>
          <w:szCs w:val="32"/>
          <w:bdr w:val="none" w:color="auto" w:sz="0" w:space="0"/>
        </w:rPr>
        <w:t>（市场监管总局）</w:t>
      </w:r>
    </w:p>
    <w:p w14:paraId="5123A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9.加大监督抽查力度。加强建材、装饰装修材料、家具质量监督抽查，曝光不合格产品及企业并限期整改，严防不合格家居建材流入市场。</w:t>
      </w:r>
      <w:r>
        <w:rPr>
          <w:rFonts w:hint="default" w:ascii="楷体_GB2312" w:hAnsi="Times New Roman" w:eastAsia="楷体_GB2312" w:cs="楷体_GB2312"/>
          <w:spacing w:val="0"/>
          <w:sz w:val="32"/>
          <w:szCs w:val="32"/>
          <w:bdr w:val="none" w:color="auto" w:sz="0" w:space="0"/>
        </w:rPr>
        <w:t>（市场监管总局）</w:t>
      </w:r>
    </w:p>
    <w:p w14:paraId="421B7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10.推动技术研发成果转化应用。适时将技术研发成果纳入家装标准、甲醛检测方法规范，推动形成行业通用技术；推动建立室内空气污染因子控制措施和关键控制点监测方法及阈值，开展室内空气质量检测、家装原材料检测实验室间比对；探索建立全国统一共享的家装材料和家具产品质量信息数据库。选取家装企业、居民社区和建材家装产业聚集区开展试点探索，推动形成可复制、可推广的治理模式。</w:t>
      </w:r>
      <w:r>
        <w:rPr>
          <w:rFonts w:hint="default" w:ascii="楷体_GB2312" w:hAnsi="Times New Roman" w:eastAsia="楷体_GB2312" w:cs="楷体_GB2312"/>
          <w:spacing w:val="0"/>
          <w:sz w:val="32"/>
          <w:szCs w:val="32"/>
          <w:bdr w:val="none" w:color="auto" w:sz="0" w:space="0"/>
        </w:rPr>
        <w:t>（市场监管总局）</w:t>
      </w:r>
    </w:p>
    <w:p w14:paraId="49E36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（四）加强消费教育引导</w:t>
      </w:r>
    </w:p>
    <w:p w14:paraId="151B7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11.开展科普宣传。组织编制室内空气甲醛治理与检测消费指南，普及“甲醛释放周期”“通风除醛有效性”“检测机构选择要点”等知识，通过“质量月”等活动，在社区、家装市场、网络平台广泛传播，提升消费者辨别和防范能力。</w:t>
      </w:r>
      <w:r>
        <w:rPr>
          <w:rFonts w:hint="default" w:ascii="楷体_GB2312" w:hAnsi="Times New Roman" w:eastAsia="楷体_GB2312" w:cs="楷体_GB2312"/>
          <w:spacing w:val="0"/>
          <w:sz w:val="32"/>
          <w:szCs w:val="32"/>
          <w:bdr w:val="none" w:color="auto" w:sz="0" w:space="0"/>
        </w:rPr>
        <w:t>（市场监管总局）</w:t>
      </w:r>
    </w:p>
    <w:p w14:paraId="65375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12.推广便民服务。推动第三方服务平台整合具备合法资质的甲醛检测机构资源，根据检测区域、机构信用等级等因素进行精准匹配，引导消费者通过平台预约检测。加快建立全国统一的检测报告赋码和溯源验证系统，实现“一证一码、全程可查”，为消费者提供查询服务。</w:t>
      </w:r>
      <w:r>
        <w:rPr>
          <w:rFonts w:hint="default" w:ascii="楷体_GB2312" w:hAnsi="Times New Roman" w:eastAsia="楷体_GB2312" w:cs="楷体_GB2312"/>
          <w:spacing w:val="0"/>
          <w:sz w:val="32"/>
          <w:szCs w:val="32"/>
          <w:bdr w:val="none" w:color="auto" w:sz="0" w:space="0"/>
        </w:rPr>
        <w:t>（市场监管总局）</w:t>
      </w:r>
    </w:p>
    <w:p w14:paraId="0D6A0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13.加强舆论引导。充分利用新闻媒体、微信公众号、短视频平台等渠道，加强宣传引导和舆论监督，弘扬正面典型，曝光违法案件，树立良好舆论导向。</w:t>
      </w:r>
      <w:r>
        <w:rPr>
          <w:rFonts w:hint="default" w:ascii="楷体_GB2312" w:hAnsi="Times New Roman" w:eastAsia="楷体_GB2312" w:cs="楷体_GB2312"/>
          <w:spacing w:val="0"/>
          <w:sz w:val="32"/>
          <w:szCs w:val="32"/>
          <w:bdr w:val="none" w:color="auto" w:sz="0" w:space="0"/>
        </w:rPr>
        <w:t>（市场监管总局）</w:t>
      </w:r>
    </w:p>
    <w:p w14:paraId="47C4A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三、工作步骤</w:t>
      </w:r>
    </w:p>
    <w:p w14:paraId="7ACEC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（一）部署排查阶段（</w:t>
      </w:r>
      <w:r>
        <w:rPr>
          <w:rFonts w:hint="default" w:ascii="Times New Roman" w:hAnsi="Times New Roman" w:eastAsia="楷体_GB2312" w:cs="Times New Roman"/>
          <w:spacing w:val="0"/>
          <w:sz w:val="32"/>
          <w:szCs w:val="32"/>
          <w:bdr w:val="none" w:color="auto" w:sz="0" w:space="0"/>
        </w:rPr>
        <w:t>2026</w:t>
      </w:r>
      <w:r>
        <w:rPr>
          <w:rFonts w:hint="default" w:ascii="楷体_GB2312" w:hAnsi="Times New Roman" w:eastAsia="楷体_GB2312" w:cs="楷体_GB2312"/>
          <w:spacing w:val="0"/>
          <w:sz w:val="32"/>
          <w:szCs w:val="32"/>
          <w:bdr w:val="none" w:color="auto" w:sz="0" w:space="0"/>
        </w:rPr>
        <w:t>年</w:t>
      </w:r>
      <w:r>
        <w:rPr>
          <w:rFonts w:hint="default" w:ascii="Times New Roman" w:hAnsi="Times New Roman" w:eastAsia="楷体_GB2312" w:cs="Times New Roman"/>
          <w:spacing w:val="0"/>
          <w:sz w:val="32"/>
          <w:szCs w:val="32"/>
          <w:bdr w:val="none" w:color="auto" w:sz="0" w:space="0"/>
        </w:rPr>
        <w:t>6</w:t>
      </w:r>
      <w:r>
        <w:rPr>
          <w:rFonts w:hint="default" w:ascii="楷体_GB2312" w:hAnsi="Times New Roman" w:eastAsia="楷体_GB2312" w:cs="楷体_GB2312"/>
          <w:spacing w:val="0"/>
          <w:sz w:val="32"/>
          <w:szCs w:val="32"/>
          <w:bdr w:val="none" w:color="auto" w:sz="0" w:space="0"/>
        </w:rPr>
        <w:t>月）：</w:t>
      </w:r>
      <w:r>
        <w:rPr>
          <w:rFonts w:hint="eastAsia" w:ascii="仿宋_GB2312" w:hAnsi="Times New Roman" w:eastAsia="仿宋_GB2312" w:cs="仿宋_GB2312"/>
          <w:spacing w:val="0"/>
          <w:sz w:val="32"/>
          <w:szCs w:val="32"/>
          <w:bdr w:val="none" w:color="auto" w:sz="0" w:space="0"/>
        </w:rPr>
        <w:t>各地市场监管、住房城乡建设部门结合实际部署开展整治行动，组织开展对本地区、本行业的摸排调查，并建立问题线索台账。</w:t>
      </w:r>
    </w:p>
    <w:p w14:paraId="27716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（二）集中整治阶段（</w:t>
      </w:r>
      <w:r>
        <w:rPr>
          <w:rFonts w:hint="default" w:ascii="Times New Roman" w:hAnsi="Times New Roman" w:eastAsia="楷体_GB2312" w:cs="Times New Roman"/>
          <w:spacing w:val="0"/>
          <w:sz w:val="32"/>
          <w:szCs w:val="32"/>
          <w:bdr w:val="none" w:color="auto" w:sz="0" w:space="0"/>
        </w:rPr>
        <w:t>2026</w:t>
      </w:r>
      <w:r>
        <w:rPr>
          <w:rFonts w:hint="default" w:ascii="楷体_GB2312" w:hAnsi="Times New Roman" w:eastAsia="楷体_GB2312" w:cs="楷体_GB2312"/>
          <w:spacing w:val="0"/>
          <w:sz w:val="32"/>
          <w:szCs w:val="32"/>
          <w:bdr w:val="none" w:color="auto" w:sz="0" w:space="0"/>
        </w:rPr>
        <w:t>年</w:t>
      </w:r>
      <w:r>
        <w:rPr>
          <w:rFonts w:hint="default" w:ascii="Times New Roman" w:hAnsi="Times New Roman" w:eastAsia="楷体_GB2312" w:cs="Times New Roman"/>
          <w:spacing w:val="0"/>
          <w:sz w:val="32"/>
          <w:szCs w:val="32"/>
          <w:bdr w:val="none" w:color="auto" w:sz="0" w:space="0"/>
        </w:rPr>
        <w:t>7</w:t>
      </w:r>
      <w:r>
        <w:rPr>
          <w:rFonts w:hint="default" w:ascii="楷体_GB2312" w:hAnsi="Times New Roman" w:eastAsia="楷体_GB2312" w:cs="楷体_GB2312"/>
          <w:spacing w:val="0"/>
          <w:sz w:val="32"/>
          <w:szCs w:val="32"/>
          <w:bdr w:val="none" w:color="auto" w:sz="0" w:space="0"/>
        </w:rPr>
        <w:t>月）：</w:t>
      </w:r>
      <w:r>
        <w:rPr>
          <w:rFonts w:hint="eastAsia" w:ascii="仿宋_GB2312" w:hAnsi="Times New Roman" w:eastAsia="仿宋_GB2312" w:cs="仿宋_GB2312"/>
          <w:spacing w:val="0"/>
          <w:sz w:val="32"/>
          <w:szCs w:val="32"/>
          <w:bdr w:val="none" w:color="auto" w:sz="0" w:space="0"/>
        </w:rPr>
        <w:t>针对排查发现和群众反映强烈的突出问题，向社会公开举报投诉渠道，组织开展集中整治和案件查办工作，依法查处并曝光一批典型案例，形成有力震慑。</w:t>
      </w:r>
    </w:p>
    <w:p w14:paraId="2E82B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default" w:ascii="楷体_GB2312" w:hAnsi="Times New Roman" w:eastAsia="楷体_GB2312" w:cs="楷体_GB2312"/>
          <w:spacing w:val="0"/>
          <w:sz w:val="32"/>
          <w:szCs w:val="32"/>
          <w:bdr w:val="none" w:color="auto" w:sz="0" w:space="0"/>
        </w:rPr>
        <w:t>（三）巩固提升阶段（</w:t>
      </w:r>
      <w:r>
        <w:rPr>
          <w:rFonts w:hint="default" w:ascii="Times New Roman" w:hAnsi="Times New Roman" w:eastAsia="楷体_GB2312" w:cs="Times New Roman"/>
          <w:spacing w:val="0"/>
          <w:sz w:val="32"/>
          <w:szCs w:val="32"/>
          <w:bdr w:val="none" w:color="auto" w:sz="0" w:space="0"/>
        </w:rPr>
        <w:t>2026</w:t>
      </w:r>
      <w:r>
        <w:rPr>
          <w:rFonts w:hint="default" w:ascii="楷体_GB2312" w:hAnsi="Times New Roman" w:eastAsia="楷体_GB2312" w:cs="楷体_GB2312"/>
          <w:spacing w:val="0"/>
          <w:sz w:val="32"/>
          <w:szCs w:val="32"/>
          <w:bdr w:val="none" w:color="auto" w:sz="0" w:space="0"/>
        </w:rPr>
        <w:t>年</w:t>
      </w:r>
      <w:r>
        <w:rPr>
          <w:rFonts w:hint="default" w:ascii="Times New Roman" w:hAnsi="Times New Roman" w:eastAsia="楷体_GB2312" w:cs="Times New Roman"/>
          <w:spacing w:val="0"/>
          <w:sz w:val="32"/>
          <w:szCs w:val="32"/>
          <w:bdr w:val="none" w:color="auto" w:sz="0" w:space="0"/>
        </w:rPr>
        <w:t>8</w:t>
      </w:r>
      <w:r>
        <w:rPr>
          <w:rFonts w:hint="default" w:ascii="楷体_GB2312" w:hAnsi="Times New Roman" w:eastAsia="楷体_GB2312" w:cs="楷体_GB2312"/>
          <w:spacing w:val="0"/>
          <w:sz w:val="32"/>
          <w:szCs w:val="32"/>
          <w:bdr w:val="none" w:color="auto" w:sz="0" w:space="0"/>
        </w:rPr>
        <w:t>月）：</w:t>
      </w:r>
      <w:r>
        <w:rPr>
          <w:rFonts w:hint="eastAsia" w:ascii="仿宋_GB2312" w:hAnsi="Times New Roman" w:eastAsia="仿宋_GB2312" w:cs="仿宋_GB2312"/>
          <w:spacing w:val="0"/>
          <w:sz w:val="32"/>
          <w:szCs w:val="32"/>
          <w:bdr w:val="none" w:color="auto" w:sz="0" w:space="0"/>
        </w:rPr>
        <w:t>对整治工作情况进行“回头看”，评估整治效果，总结经验成果。针对排查整治中发现的共性问题和监管短板，制定完善监管制度、健全长效机制的具体措施。</w:t>
      </w:r>
    </w:p>
    <w:p w14:paraId="0BADB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黑体" w:hAnsi="宋体" w:eastAsia="黑体" w:cs="黑体"/>
          <w:spacing w:val="0"/>
          <w:sz w:val="32"/>
          <w:szCs w:val="32"/>
          <w:bdr w:val="none" w:color="auto" w:sz="0" w:space="0"/>
        </w:rPr>
        <w:t>四、组织保障</w:t>
      </w:r>
    </w:p>
    <w:p w14:paraId="33BB2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pacing w:val="0"/>
          <w:sz w:val="32"/>
          <w:szCs w:val="32"/>
          <w:bdr w:val="none" w:color="auto" w:sz="0" w:space="0"/>
        </w:rPr>
        <w:t>市场监管总局牵头，加强对各地整治行动的督促指导，及时研究解决行动中的突出问题，总结推广各地经验成果。住房城乡建设部按职责分工做好相关工作。对重大案件跟进指导，对整治工作进展缓慢、不扎实、不到位、走过场、推诿扯皮的，采取“三书一函”等方式予以督促，确保取得实效。</w:t>
      </w:r>
    </w:p>
    <w:p w14:paraId="425BA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宋体" w:hAnsi="宋体" w:eastAsia="宋体" w:cs="宋体"/>
          <w:sz w:val="24"/>
          <w:szCs w:val="24"/>
        </w:rPr>
      </w:pPr>
    </w:p>
    <w:p w14:paraId="1E68FD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5E4AEB-CB32-4A64-A44E-AD20652C6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1B3A8FE-2FC0-4405-9994-B99565009AE2}"/>
  </w:font>
  <w:font w:name="仿宋_GB2312">
    <w:panose1 w:val="02010609030101010101"/>
    <w:charset w:val="86"/>
    <w:family w:val="auto"/>
    <w:pitch w:val="default"/>
    <w:sig w:usb0="00000001" w:usb1="080E0000" w:usb2="00000000" w:usb3="00000000" w:csb0="00040000" w:csb1="00000000"/>
    <w:embedRegular r:id="rId3" w:fontKey="{723AEEA4-2EA3-4237-9CC2-2A0F62D2EE0C}"/>
  </w:font>
  <w:font w:name="方正小标宋简体">
    <w:panose1 w:val="02000000000000000000"/>
    <w:charset w:val="86"/>
    <w:family w:val="auto"/>
    <w:pitch w:val="default"/>
    <w:sig w:usb0="00000001" w:usb1="08000000" w:usb2="00000000" w:usb3="00000000" w:csb0="00040000" w:csb1="00000000"/>
    <w:embedRegular r:id="rId4" w:fontKey="{39DC00A5-ED80-4084-9ADF-CAC1C48282B0}"/>
  </w:font>
  <w:font w:name="楷体_GB2312">
    <w:altName w:val="楷体"/>
    <w:panose1 w:val="00000000000000000000"/>
    <w:charset w:val="00"/>
    <w:family w:val="auto"/>
    <w:pitch w:val="default"/>
    <w:sig w:usb0="00000000" w:usb1="00000000" w:usb2="00000000" w:usb3="00000000" w:csb0="00000000" w:csb1="00000000"/>
    <w:embedRegular r:id="rId5" w:fontKey="{206A3126-D9CF-46F4-B5F9-7B18CCA360E8}"/>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A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2026-06-29T01:52:09Z</dcterms:created>
  <dc:creator>Ted Chen</dc:creator>
  <cp:lastModifiedBy>玲俐</cp:lastModifiedBy>
  <dcterms:modified xsi:type="dcterms:W3CDTF">2026-06-29T01:52:15Z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351A6C1C10604C08B92E6253D18277B9_12</vt:lpwstr>
  </property>
</Properties>
</file>