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A755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hanging="360"/>
        <w:jc w:val="center"/>
      </w:pPr>
      <w:r>
        <w:rPr>
          <w:rFonts w:ascii="sans-serif" w:hAnsi="sans-serif" w:eastAsia="sans-serif" w:cs="sans-serif"/>
          <w:i w:val="0"/>
          <w:iCs w:val="0"/>
          <w:caps w:val="0"/>
          <w:color w:val="000000"/>
          <w:spacing w:val="0"/>
          <w:sz w:val="15"/>
          <w:szCs w:val="15"/>
          <w:bdr w:val="none" w:color="auto" w:sz="0" w:space="0"/>
          <w:shd w:val="clear" w:fill="F6F8FC"/>
        </w:rPr>
        <w:t>索引号：MB1502192/2024-00708</w:t>
      </w:r>
    </w:p>
    <w:p w14:paraId="783682B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hanging="360"/>
        <w:jc w:val="center"/>
      </w:pPr>
      <w:r>
        <w:rPr>
          <w:rFonts w:hint="default" w:ascii="sans-serif" w:hAnsi="sans-serif" w:eastAsia="sans-serif" w:cs="sans-serif"/>
          <w:i w:val="0"/>
          <w:iCs w:val="0"/>
          <w:caps w:val="0"/>
          <w:color w:val="000000"/>
          <w:spacing w:val="0"/>
          <w:sz w:val="15"/>
          <w:szCs w:val="15"/>
          <w:bdr w:val="none" w:color="auto" w:sz="0" w:space="0"/>
          <w:shd w:val="clear" w:fill="F6F8FC"/>
        </w:rPr>
        <w:t>发文字号：〔2024〕4号</w:t>
      </w:r>
    </w:p>
    <w:p w14:paraId="79D12EF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hanging="360"/>
        <w:jc w:val="center"/>
      </w:pPr>
      <w:r>
        <w:rPr>
          <w:rFonts w:hint="default" w:ascii="sans-serif" w:hAnsi="sans-serif" w:eastAsia="sans-serif" w:cs="sans-serif"/>
          <w:i w:val="0"/>
          <w:iCs w:val="0"/>
          <w:caps w:val="0"/>
          <w:color w:val="000000"/>
          <w:spacing w:val="0"/>
          <w:sz w:val="15"/>
          <w:szCs w:val="15"/>
          <w:bdr w:val="none" w:color="auto" w:sz="0" w:space="0"/>
          <w:shd w:val="clear" w:fill="F6F8FC"/>
        </w:rPr>
        <w:t>公文种类：</w:t>
      </w:r>
    </w:p>
    <w:p w14:paraId="494CAB0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hanging="360"/>
        <w:jc w:val="center"/>
      </w:pPr>
      <w:r>
        <w:rPr>
          <w:rFonts w:hint="default" w:ascii="sans-serif" w:hAnsi="sans-serif" w:eastAsia="sans-serif" w:cs="sans-serif"/>
          <w:i w:val="0"/>
          <w:iCs w:val="0"/>
          <w:caps w:val="0"/>
          <w:color w:val="000000"/>
          <w:spacing w:val="0"/>
          <w:sz w:val="15"/>
          <w:szCs w:val="15"/>
          <w:bdr w:val="none" w:color="auto" w:sz="0" w:space="0"/>
          <w:shd w:val="clear" w:fill="F6F8FC"/>
        </w:rPr>
        <w:t>发文机关：</w:t>
      </w:r>
    </w:p>
    <w:p w14:paraId="0E58F24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hanging="360"/>
        <w:jc w:val="center"/>
      </w:pPr>
      <w:r>
        <w:rPr>
          <w:rFonts w:hint="default" w:ascii="sans-serif" w:hAnsi="sans-serif" w:eastAsia="sans-serif" w:cs="sans-serif"/>
          <w:i w:val="0"/>
          <w:iCs w:val="0"/>
          <w:caps w:val="0"/>
          <w:color w:val="000000"/>
          <w:spacing w:val="0"/>
          <w:sz w:val="15"/>
          <w:szCs w:val="15"/>
          <w:bdr w:val="none" w:color="auto" w:sz="0" w:space="0"/>
          <w:shd w:val="clear" w:fill="F6F8FC"/>
        </w:rPr>
        <w:t>成文日期：</w:t>
      </w:r>
    </w:p>
    <w:p w14:paraId="0F4AD35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hanging="360"/>
        <w:jc w:val="center"/>
      </w:pPr>
      <w:r>
        <w:rPr>
          <w:rFonts w:hint="default" w:ascii="sans-serif" w:hAnsi="sans-serif" w:eastAsia="sans-serif" w:cs="sans-serif"/>
          <w:i w:val="0"/>
          <w:iCs w:val="0"/>
          <w:caps w:val="0"/>
          <w:color w:val="000000"/>
          <w:spacing w:val="0"/>
          <w:sz w:val="15"/>
          <w:szCs w:val="15"/>
          <w:bdr w:val="none" w:color="auto" w:sz="0" w:space="0"/>
          <w:shd w:val="clear" w:fill="F6F8FC"/>
        </w:rPr>
        <w:t>主题分类：</w:t>
      </w:r>
    </w:p>
    <w:p w14:paraId="51C9E1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bCs/>
          <w:i w:val="0"/>
          <w:iCs w:val="0"/>
          <w:caps w:val="0"/>
          <w:color w:val="2D66A5"/>
          <w:spacing w:val="0"/>
          <w:sz w:val="42"/>
          <w:szCs w:val="42"/>
        </w:rPr>
      </w:pPr>
      <w:r>
        <w:rPr>
          <w:rFonts w:hint="eastAsia" w:ascii="微软雅黑" w:hAnsi="微软雅黑" w:eastAsia="微软雅黑" w:cs="微软雅黑"/>
          <w:b/>
          <w:bCs/>
          <w:i w:val="0"/>
          <w:iCs w:val="0"/>
          <w:caps w:val="0"/>
          <w:color w:val="2D66A5"/>
          <w:spacing w:val="0"/>
          <w:sz w:val="42"/>
          <w:szCs w:val="42"/>
          <w:bdr w:val="none" w:color="auto" w:sz="0" w:space="0"/>
        </w:rPr>
        <w:t>【本部门】关于印发《新疆维吾尔自治区 新疆生产建设兵团生态环境部门</w:t>
      </w:r>
      <w:bookmarkStart w:id="1" w:name="_GoBack"/>
      <w:bookmarkEnd w:id="1"/>
      <w:r>
        <w:rPr>
          <w:rFonts w:hint="eastAsia" w:ascii="微软雅黑" w:hAnsi="微软雅黑" w:eastAsia="微软雅黑" w:cs="微软雅黑"/>
          <w:b/>
          <w:bCs/>
          <w:i w:val="0"/>
          <w:iCs w:val="0"/>
          <w:caps w:val="0"/>
          <w:color w:val="2D66A5"/>
          <w:spacing w:val="0"/>
          <w:sz w:val="42"/>
          <w:szCs w:val="42"/>
          <w:bdr w:val="none" w:color="auto" w:sz="0" w:space="0"/>
        </w:rPr>
        <w:t>不予处罚和不予强制事项清单(2024年版)》的通知</w:t>
      </w:r>
    </w:p>
    <w:p w14:paraId="3E7F88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5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发布时间：2024-12-16   浏览次数：3846次   【字体：</w:t>
      </w:r>
      <w:r>
        <w:rPr>
          <w:rFonts w:hint="eastAsia" w:ascii="微软雅黑" w:hAnsi="微软雅黑" w:eastAsia="微软雅黑" w:cs="微软雅黑"/>
          <w:i w:val="0"/>
          <w:iCs w:val="0"/>
          <w:caps w:val="0"/>
          <w:spacing w:val="0"/>
          <w:sz w:val="21"/>
          <w:szCs w:val="21"/>
          <w:u w:val="none"/>
          <w:bdr w:val="none" w:color="auto" w:sz="0" w:space="0"/>
        </w:rPr>
        <w:fldChar w:fldCharType="begin"/>
      </w:r>
      <w:r>
        <w:rPr>
          <w:rFonts w:hint="eastAsia" w:ascii="微软雅黑" w:hAnsi="微软雅黑" w:eastAsia="微软雅黑" w:cs="微软雅黑"/>
          <w:i w:val="0"/>
          <w:iCs w:val="0"/>
          <w:caps w:val="0"/>
          <w:spacing w:val="0"/>
          <w:sz w:val="21"/>
          <w:szCs w:val="21"/>
          <w:u w:val="none"/>
          <w:bdr w:val="none" w:color="auto" w:sz="0" w:space="0"/>
        </w:rPr>
        <w:instrText xml:space="preserve"> HYPERLINK "javascript:void(0);" </w:instrText>
      </w:r>
      <w:r>
        <w:rPr>
          <w:rFonts w:hint="eastAsia" w:ascii="微软雅黑" w:hAnsi="微软雅黑" w:eastAsia="微软雅黑" w:cs="微软雅黑"/>
          <w:i w:val="0"/>
          <w:iCs w:val="0"/>
          <w:caps w:val="0"/>
          <w:spacing w:val="0"/>
          <w:sz w:val="21"/>
          <w:szCs w:val="21"/>
          <w:u w:val="none"/>
          <w:bdr w:val="none" w:color="auto" w:sz="0" w:space="0"/>
        </w:rPr>
        <w:fldChar w:fldCharType="separate"/>
      </w:r>
      <w:r>
        <w:rPr>
          <w:rStyle w:val="7"/>
          <w:rFonts w:hint="eastAsia" w:ascii="微软雅黑" w:hAnsi="微软雅黑" w:eastAsia="微软雅黑" w:cs="微软雅黑"/>
          <w:i w:val="0"/>
          <w:iCs w:val="0"/>
          <w:caps w:val="0"/>
          <w:spacing w:val="0"/>
          <w:sz w:val="21"/>
          <w:szCs w:val="21"/>
          <w:u w:val="none"/>
          <w:bdr w:val="none" w:color="auto" w:sz="0" w:space="0"/>
        </w:rPr>
        <w:t>大</w:t>
      </w:r>
      <w:r>
        <w:rPr>
          <w:rFonts w:hint="eastAsia" w:ascii="微软雅黑" w:hAnsi="微软雅黑" w:eastAsia="微软雅黑" w:cs="微软雅黑"/>
          <w:i w:val="0"/>
          <w:iCs w:val="0"/>
          <w:caps w:val="0"/>
          <w:spacing w:val="0"/>
          <w:sz w:val="21"/>
          <w:szCs w:val="21"/>
          <w:u w:val="none"/>
          <w:bdr w:val="none" w:color="auto" w:sz="0" w:space="0"/>
        </w:rPr>
        <w:fldChar w:fldCharType="end"/>
      </w:r>
      <w:r>
        <w:rPr>
          <w:rFonts w:hint="eastAsia" w:ascii="微软雅黑" w:hAnsi="微软雅黑" w:eastAsia="微软雅黑" w:cs="微软雅黑"/>
          <w:i w:val="0"/>
          <w:iCs w:val="0"/>
          <w:caps w:val="0"/>
          <w:spacing w:val="0"/>
          <w:sz w:val="21"/>
          <w:szCs w:val="21"/>
          <w:u w:val="none"/>
          <w:bdr w:val="none" w:color="auto" w:sz="0" w:space="0"/>
        </w:rPr>
        <w:fldChar w:fldCharType="begin"/>
      </w:r>
      <w:r>
        <w:rPr>
          <w:rFonts w:hint="eastAsia" w:ascii="微软雅黑" w:hAnsi="微软雅黑" w:eastAsia="微软雅黑" w:cs="微软雅黑"/>
          <w:i w:val="0"/>
          <w:iCs w:val="0"/>
          <w:caps w:val="0"/>
          <w:spacing w:val="0"/>
          <w:sz w:val="21"/>
          <w:szCs w:val="21"/>
          <w:u w:val="none"/>
          <w:bdr w:val="none" w:color="auto" w:sz="0" w:space="0"/>
        </w:rPr>
        <w:instrText xml:space="preserve"> HYPERLINK "javascript:void(0);" </w:instrText>
      </w:r>
      <w:r>
        <w:rPr>
          <w:rFonts w:hint="eastAsia" w:ascii="微软雅黑" w:hAnsi="微软雅黑" w:eastAsia="微软雅黑" w:cs="微软雅黑"/>
          <w:i w:val="0"/>
          <w:iCs w:val="0"/>
          <w:caps w:val="0"/>
          <w:spacing w:val="0"/>
          <w:sz w:val="21"/>
          <w:szCs w:val="21"/>
          <w:u w:val="none"/>
          <w:bdr w:val="none" w:color="auto" w:sz="0" w:space="0"/>
        </w:rPr>
        <w:fldChar w:fldCharType="separate"/>
      </w:r>
      <w:r>
        <w:rPr>
          <w:rStyle w:val="7"/>
          <w:rFonts w:hint="eastAsia" w:ascii="微软雅黑" w:hAnsi="微软雅黑" w:eastAsia="微软雅黑" w:cs="微软雅黑"/>
          <w:i w:val="0"/>
          <w:iCs w:val="0"/>
          <w:caps w:val="0"/>
          <w:spacing w:val="0"/>
          <w:sz w:val="21"/>
          <w:szCs w:val="21"/>
          <w:u w:val="none"/>
          <w:bdr w:val="none" w:color="auto" w:sz="0" w:space="0"/>
        </w:rPr>
        <w:t>中</w:t>
      </w:r>
      <w:r>
        <w:rPr>
          <w:rFonts w:hint="eastAsia" w:ascii="微软雅黑" w:hAnsi="微软雅黑" w:eastAsia="微软雅黑" w:cs="微软雅黑"/>
          <w:i w:val="0"/>
          <w:iCs w:val="0"/>
          <w:caps w:val="0"/>
          <w:spacing w:val="0"/>
          <w:sz w:val="21"/>
          <w:szCs w:val="21"/>
          <w:u w:val="none"/>
          <w:bdr w:val="none" w:color="auto" w:sz="0" w:space="0"/>
        </w:rPr>
        <w:fldChar w:fldCharType="end"/>
      </w:r>
      <w:r>
        <w:rPr>
          <w:rFonts w:hint="eastAsia" w:ascii="微软雅黑" w:hAnsi="微软雅黑" w:eastAsia="微软雅黑" w:cs="微软雅黑"/>
          <w:i w:val="0"/>
          <w:iCs w:val="0"/>
          <w:caps w:val="0"/>
          <w:spacing w:val="0"/>
          <w:sz w:val="21"/>
          <w:szCs w:val="21"/>
          <w:u w:val="none"/>
          <w:bdr w:val="none" w:color="auto" w:sz="0" w:space="0"/>
        </w:rPr>
        <w:fldChar w:fldCharType="begin"/>
      </w:r>
      <w:r>
        <w:rPr>
          <w:rFonts w:hint="eastAsia" w:ascii="微软雅黑" w:hAnsi="微软雅黑" w:eastAsia="微软雅黑" w:cs="微软雅黑"/>
          <w:i w:val="0"/>
          <w:iCs w:val="0"/>
          <w:caps w:val="0"/>
          <w:spacing w:val="0"/>
          <w:sz w:val="21"/>
          <w:szCs w:val="21"/>
          <w:u w:val="none"/>
          <w:bdr w:val="none" w:color="auto" w:sz="0" w:space="0"/>
        </w:rPr>
        <w:instrText xml:space="preserve"> HYPERLINK "javascript:void(0);" </w:instrText>
      </w:r>
      <w:r>
        <w:rPr>
          <w:rFonts w:hint="eastAsia" w:ascii="微软雅黑" w:hAnsi="微软雅黑" w:eastAsia="微软雅黑" w:cs="微软雅黑"/>
          <w:i w:val="0"/>
          <w:iCs w:val="0"/>
          <w:caps w:val="0"/>
          <w:spacing w:val="0"/>
          <w:sz w:val="21"/>
          <w:szCs w:val="21"/>
          <w:u w:val="none"/>
          <w:bdr w:val="none" w:color="auto" w:sz="0" w:space="0"/>
        </w:rPr>
        <w:fldChar w:fldCharType="separate"/>
      </w:r>
      <w:r>
        <w:rPr>
          <w:rStyle w:val="7"/>
          <w:rFonts w:hint="eastAsia" w:ascii="微软雅黑" w:hAnsi="微软雅黑" w:eastAsia="微软雅黑" w:cs="微软雅黑"/>
          <w:i w:val="0"/>
          <w:iCs w:val="0"/>
          <w:caps w:val="0"/>
          <w:spacing w:val="0"/>
          <w:sz w:val="21"/>
          <w:szCs w:val="21"/>
          <w:u w:val="none"/>
          <w:bdr w:val="none" w:color="auto" w:sz="0" w:space="0"/>
        </w:rPr>
        <w:t>小</w:t>
      </w:r>
      <w:r>
        <w:rPr>
          <w:rFonts w:hint="eastAsia" w:ascii="微软雅黑" w:hAnsi="微软雅黑" w:eastAsia="微软雅黑" w:cs="微软雅黑"/>
          <w:i w:val="0"/>
          <w:iCs w:val="0"/>
          <w:caps w:val="0"/>
          <w:spacing w:val="0"/>
          <w:sz w:val="21"/>
          <w:szCs w:val="21"/>
          <w:u w:val="none"/>
          <w:bdr w:val="none" w:color="auto" w:sz="0" w:space="0"/>
        </w:rPr>
        <w:fldChar w:fldCharType="end"/>
      </w:r>
      <w:r>
        <w:rPr>
          <w:rFonts w:hint="eastAsia" w:ascii="微软雅黑" w:hAnsi="微软雅黑" w:eastAsia="微软雅黑" w:cs="微软雅黑"/>
          <w:i w:val="0"/>
          <w:iCs w:val="0"/>
          <w:caps w:val="0"/>
          <w:color w:val="000000"/>
          <w:spacing w:val="0"/>
          <w:sz w:val="21"/>
          <w:szCs w:val="21"/>
          <w:bdr w:val="none" w:color="auto" w:sz="0" w:space="0"/>
        </w:rPr>
        <w:t> 】</w:t>
      </w:r>
    </w:p>
    <w:p w14:paraId="08F7FC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各地（州、市）生态环境局，兵团各师市生态环境局：</w:t>
      </w:r>
    </w:p>
    <w:p w14:paraId="431ED6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为进一步在兵地生态环境领域推行统一包容审慎监管，坚持严格规范公正文明执法，引导和促进企业自觉守法，自治区生态环境厅和新疆生产建设兵团生态环境局对《新疆维吾尔自治区 新疆生产建设兵团生态环境部门免予处罚事项清单(2022年版)》进行修订，形成《新疆维吾尔自治区 新疆生产建设兵团生态环境部门不予处罚和不予强制事项清单(2024年版)》（以下简称《清单(2024年版)》，见附件1），请按以下要求，结合实际认真抓好贯彻落实。</w:t>
      </w:r>
    </w:p>
    <w:p w14:paraId="7AB414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一、高度重视，做好《清单(2024年版)》实施工作</w:t>
      </w:r>
    </w:p>
    <w:p w14:paraId="142F67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兵地各级生态环境部门要将学习贯彻落实《清单（2024年版）》各项要求作为学习培训的重要内容和推行包容审慎监管的重要举措，充分理解适用条件，严格把握审查标准，规范适用实施程序，对符合《清单（2024年版）》规定情形的生态环境违法行为，经集体审议后依法作出不予处罚决定，教育引导当事人切实增强生态环境保护主体责任的意识和行动自觉。</w:t>
      </w:r>
    </w:p>
    <w:p w14:paraId="58C36A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二、认真研判，准确把握不予处罚适用范围</w:t>
      </w:r>
    </w:p>
    <w:p w14:paraId="15E9FD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6"/>
          <w:sz w:val="28"/>
          <w:szCs w:val="28"/>
          <w:bdr w:val="none" w:color="auto" w:sz="0" w:space="0"/>
          <w:shd w:val="clear" w:fill="FFFFFF"/>
        </w:rPr>
        <w:t>兵地各级生态环境部门应当严格按照《中华人民共和国行政处罚法》第三十三条第一款规定和《清单（2024年版）》列明的条件，综合研判违法行为是否同时具备“轻微并及时改正，没有造成危害后果”，方可决定不予处罚；判定是否同时具备“初次违法，且危害后果轻微并及时改正”，方可以不予处罚，并依法定程序收集相关证据，对确实符合不予处罚事项条件的，依法不予处罚。</w:t>
      </w:r>
    </w:p>
    <w:p w14:paraId="224F19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清单（2024年版）》印发之前发生的生态环境违法行为，在行政处罚追责期内，符合不予处罚条件且尚未作出行政处罚决定的，可以适用《清单（2024年版）》的规定，《清单（2024年版）》所指“首次违法”指同一主体、同种违法行为两年内未受到过行政处罚。</w:t>
      </w:r>
    </w:p>
    <w:p w14:paraId="17E6FF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三、依法依规执行，严格适用相关程序</w:t>
      </w:r>
    </w:p>
    <w:p w14:paraId="139629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一）立案前决定不予处罚的。在立案调查前符合不予处罚情形的违法行为应当责令当事人改正或者限期改正，要求当事人签署《承诺书》（附件2），引导当事人自觉守法，并及时进行现场核查。经核查，当事人按承诺改正的，执法人员应当填写《行政处罚案件不予立案审批表》，由行政机关负责人审批；当事人签署承诺书后，拒不改正、逾期不改正或者改正后仍不符合要求的，应当按照行政处罚程序规定依法立案查处。</w:t>
      </w:r>
    </w:p>
    <w:p w14:paraId="47E1F3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（二）</w:t>
      </w:r>
      <w:r>
        <w:rPr>
          <w:rFonts w:hint="eastAsia" w:ascii="微软雅黑" w:hAnsi="微软雅黑" w:eastAsia="微软雅黑" w:cs="微软雅黑"/>
          <w:i w:val="0"/>
          <w:iCs w:val="0"/>
          <w:caps w:val="0"/>
          <w:color w:val="000000"/>
          <w:spacing w:val="6"/>
          <w:sz w:val="28"/>
          <w:szCs w:val="28"/>
          <w:bdr w:val="none" w:color="auto" w:sz="0" w:space="0"/>
          <w:shd w:val="clear" w:fill="FFFFFF"/>
        </w:rPr>
        <w:t>立案调查后决定不予处罚的。</w:t>
      </w:r>
      <w:r>
        <w:rPr>
          <w:rFonts w:hint="eastAsia" w:ascii="微软雅黑" w:hAnsi="微软雅黑" w:eastAsia="微软雅黑" w:cs="微软雅黑"/>
          <w:i w:val="0"/>
          <w:iCs w:val="0"/>
          <w:caps w:val="0"/>
          <w:color w:val="000000"/>
          <w:spacing w:val="0"/>
          <w:sz w:val="28"/>
          <w:szCs w:val="28"/>
          <w:bdr w:val="none" w:color="auto" w:sz="0" w:space="0"/>
          <w:shd w:val="clear" w:fill="FFFFFF"/>
        </w:rPr>
        <w:t>在立案调查后符合不予处罚情形的,调查终结后或行政处罚事先告知下达后发现新的证据，能够充分证明违法行为符合不予处罚事</w:t>
      </w:r>
      <w:r>
        <w:rPr>
          <w:rFonts w:hint="eastAsia" w:ascii="微软雅黑" w:hAnsi="微软雅黑" w:eastAsia="微软雅黑" w:cs="微软雅黑"/>
          <w:i w:val="0"/>
          <w:iCs w:val="0"/>
          <w:caps w:val="0"/>
          <w:color w:val="000000"/>
          <w:spacing w:val="6"/>
          <w:sz w:val="28"/>
          <w:szCs w:val="28"/>
          <w:bdr w:val="none" w:color="auto" w:sz="0" w:space="0"/>
          <w:shd w:val="clear" w:fill="FFFFFF"/>
        </w:rPr>
        <w:t>项适用条件的，应当要求当事人提交佐证材料，并提交《承诺书》，按照行政处罚程序，下达《不予行政处罚决定书》</w:t>
      </w:r>
      <w:r>
        <w:rPr>
          <w:rFonts w:hint="eastAsia" w:ascii="微软雅黑" w:hAnsi="微软雅黑" w:eastAsia="微软雅黑" w:cs="微软雅黑"/>
          <w:i w:val="0"/>
          <w:iCs w:val="0"/>
          <w:caps w:val="0"/>
          <w:color w:val="000000"/>
          <w:spacing w:val="0"/>
          <w:sz w:val="28"/>
          <w:szCs w:val="28"/>
          <w:bdr w:val="none" w:color="auto" w:sz="0" w:space="0"/>
          <w:shd w:val="clear" w:fill="FFFFFF"/>
        </w:rPr>
        <w:t>。</w:t>
      </w:r>
    </w:p>
    <w:p w14:paraId="1B944A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（三）不予行政强制决定程序。</w:t>
      </w:r>
      <w:r>
        <w:rPr>
          <w:rFonts w:hint="eastAsia" w:ascii="微软雅黑" w:hAnsi="微软雅黑" w:eastAsia="微软雅黑" w:cs="微软雅黑"/>
          <w:i w:val="0"/>
          <w:iCs w:val="0"/>
          <w:caps w:val="0"/>
          <w:color w:val="000000"/>
          <w:spacing w:val="6"/>
          <w:sz w:val="28"/>
          <w:szCs w:val="28"/>
          <w:bdr w:val="none" w:color="auto" w:sz="0" w:space="0"/>
          <w:shd w:val="clear" w:fill="FFFFFF"/>
        </w:rPr>
        <w:t>不予行政强制决定依据生态环境部《环境保护主管部门实施查封、扣押办法》第六条可以不予实施查封、扣押情形制定，相关实施程序可以参照不予处罚决定执行。</w:t>
      </w:r>
    </w:p>
    <w:p w14:paraId="3E0287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（四）全面落实“行政处罚与教育相结合”要求。</w:t>
      </w:r>
      <w:r>
        <w:rPr>
          <w:rFonts w:hint="eastAsia" w:ascii="微软雅黑" w:hAnsi="微软雅黑" w:eastAsia="微软雅黑" w:cs="微软雅黑"/>
          <w:i w:val="0"/>
          <w:iCs w:val="0"/>
          <w:caps w:val="0"/>
          <w:color w:val="000000"/>
          <w:spacing w:val="6"/>
          <w:sz w:val="28"/>
          <w:szCs w:val="28"/>
          <w:bdr w:val="none" w:color="auto" w:sz="0" w:space="0"/>
          <w:shd w:val="clear" w:fill="FFFFFF"/>
        </w:rPr>
        <w:t>实施不予处罚时要严格落实“谁执法谁普法”要求，做好普法宣传，推广运用说服教育，劝导示范方式，对当事人进行教育，及时纠正违法行为。</w:t>
      </w:r>
    </w:p>
    <w:p w14:paraId="108E7CF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四、加强执法记录管理，确保执法可回溯</w:t>
      </w:r>
    </w:p>
    <w:p w14:paraId="7B00E4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6"/>
          <w:sz w:val="28"/>
          <w:szCs w:val="28"/>
          <w:bdr w:val="none" w:color="auto" w:sz="0" w:space="0"/>
          <w:shd w:val="clear" w:fill="FFFFFF"/>
        </w:rPr>
        <w:t>兵地各级生态环境部门应当按照行政执法全过程记录的要求，根据实际情况，采用音像记录等方式记录执法全过程。同时做好不予处罚和不予强制档案的入卷归档工作。</w:t>
      </w:r>
    </w:p>
    <w:p w14:paraId="33E5CE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6"/>
          <w:sz w:val="28"/>
          <w:szCs w:val="28"/>
          <w:bdr w:val="none" w:color="auto" w:sz="0" w:space="0"/>
          <w:shd w:val="clear" w:fill="FFFFFF"/>
        </w:rPr>
        <w:t>《清单（2024年版）》自发布之日起实施，《新疆维吾尔自治区 新疆生产建设兵团生态环境部门免予处罚事项清单（2022年版）》同时废止。</w:t>
      </w:r>
    </w:p>
    <w:p w14:paraId="679177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附件：1.</w:t>
      </w:r>
      <w:r>
        <w:rPr>
          <w:rFonts w:hint="eastAsia" w:ascii="微软雅黑" w:hAnsi="微软雅黑" w:eastAsia="微软雅黑" w:cs="微软雅黑"/>
          <w:i w:val="0"/>
          <w:iCs w:val="0"/>
          <w:caps w:val="0"/>
          <w:color w:val="000000"/>
          <w:spacing w:val="0"/>
          <w:sz w:val="28"/>
          <w:szCs w:val="28"/>
          <w:bdr w:val="none" w:color="auto" w:sz="0" w:space="0"/>
          <w:shd w:val="clear" w:fill="FFFFFF"/>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spacing w:val="0"/>
          <w:sz w:val="28"/>
          <w:szCs w:val="28"/>
          <w:u w:val="none"/>
          <w:bdr w:val="none" w:color="auto" w:sz="0" w:space="0"/>
          <w:shd w:val="clear" w:fill="FFFFFF"/>
        </w:rPr>
        <w:fldChar w:fldCharType="begin"/>
      </w:r>
      <w:r>
        <w:rPr>
          <w:rFonts w:hint="eastAsia" w:ascii="微软雅黑" w:hAnsi="微软雅黑" w:eastAsia="微软雅黑" w:cs="微软雅黑"/>
          <w:i w:val="0"/>
          <w:iCs w:val="0"/>
          <w:caps w:val="0"/>
          <w:spacing w:val="0"/>
          <w:sz w:val="28"/>
          <w:szCs w:val="28"/>
          <w:u w:val="none"/>
          <w:bdr w:val="none" w:color="auto" w:sz="0" w:space="0"/>
          <w:shd w:val="clear" w:fill="FFFFFF"/>
        </w:rPr>
        <w:instrText xml:space="preserve"> HYPERLINK "https://sthjt.xinjiang.gov.cn/xjepd/sthjt_hbfg/202412/8b7c9ad5abaf4bee8221960aabe0710e/files/%E6%96%B0%E7%96%86%E7%BB%B4%E5%90%BE%E5%B0%94%E8%87%AA%E6%B2%BB%E5%8C%BA%E6%96%B0%E7%96%86%E7%94%9F%E4%BA%A7%E5%BB%BA%E8%AE%BE%E5%85%B5%E5%9B%A2%E7%94%9F%E6%80%81%E7%8E%AF%E5%A2%83%E9%83%A8%E9%97%A8%E4%B8%8D%E4%BA%88%E5%A4%84%E7%BD%9A%E4%BA%8B%E9%A1%B9%E5%92%8C%E4%B8%8D%E4%BA%88%E5%BC%BA%E5%88%B6%E4%BA%8B%E9%A1%B9%E6%B8%85%E5%8D%95%EF%BC%882024%E5%B9%B4%E7%89%88%EF%BC%89.docx" \t "https://sthjt.xinjiang.gov.cn/xjepd/sthjt_hbfg/202412/_blank" </w:instrText>
      </w:r>
      <w:r>
        <w:rPr>
          <w:rFonts w:hint="eastAsia" w:ascii="微软雅黑" w:hAnsi="微软雅黑" w:eastAsia="微软雅黑" w:cs="微软雅黑"/>
          <w:i w:val="0"/>
          <w:iCs w:val="0"/>
          <w:caps w:val="0"/>
          <w:spacing w:val="0"/>
          <w:sz w:val="28"/>
          <w:szCs w:val="28"/>
          <w:u w:val="none"/>
          <w:bdr w:val="none" w:color="auto" w:sz="0" w:space="0"/>
          <w:shd w:val="clear" w:fill="FFFFFF"/>
        </w:rPr>
        <w:fldChar w:fldCharType="separate"/>
      </w:r>
      <w:r>
        <w:rPr>
          <w:rStyle w:val="7"/>
          <w:rFonts w:hint="eastAsia" w:ascii="微软雅黑" w:hAnsi="微软雅黑" w:eastAsia="微软雅黑" w:cs="微软雅黑"/>
          <w:i w:val="0"/>
          <w:iCs w:val="0"/>
          <w:caps w:val="0"/>
          <w:spacing w:val="0"/>
          <w:sz w:val="28"/>
          <w:szCs w:val="28"/>
          <w:u w:val="none"/>
          <w:bdr w:val="none" w:color="auto" w:sz="0" w:space="0"/>
          <w:shd w:val="clear" w:fill="FFFFFF"/>
        </w:rPr>
        <w:t>新疆维吾尔自治区 新疆生产建设兵团生态环境部门不予处罚事项和不予强制事项清单（2024年版）</w:t>
      </w:r>
      <w:r>
        <w:rPr>
          <w:rFonts w:hint="eastAsia" w:ascii="微软雅黑" w:hAnsi="微软雅黑" w:eastAsia="微软雅黑" w:cs="微软雅黑"/>
          <w:i w:val="0"/>
          <w:iCs w:val="0"/>
          <w:caps w:val="0"/>
          <w:spacing w:val="0"/>
          <w:sz w:val="28"/>
          <w:szCs w:val="28"/>
          <w:u w:val="none"/>
          <w:bdr w:val="none" w:color="auto" w:sz="0" w:space="0"/>
          <w:shd w:val="clear" w:fill="FFFFFF"/>
        </w:rPr>
        <w:fldChar w:fldCharType="end"/>
      </w:r>
    </w:p>
    <w:p w14:paraId="51C0C6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      2.</w:t>
      </w:r>
      <w:r>
        <w:rPr>
          <w:rFonts w:hint="eastAsia" w:ascii="微软雅黑" w:hAnsi="微软雅黑" w:eastAsia="微软雅黑" w:cs="微软雅黑"/>
          <w:i w:val="0"/>
          <w:iCs w:val="0"/>
          <w:caps w:val="0"/>
          <w:color w:val="000000"/>
          <w:spacing w:val="0"/>
          <w:sz w:val="28"/>
          <w:szCs w:val="28"/>
          <w:bdr w:val="none" w:color="auto" w:sz="0" w:space="0"/>
          <w:shd w:val="clear" w:fill="FFFFFF"/>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spacing w:val="0"/>
          <w:sz w:val="28"/>
          <w:szCs w:val="28"/>
          <w:u w:val="none"/>
          <w:bdr w:val="none" w:color="auto" w:sz="0" w:space="0"/>
          <w:shd w:val="clear" w:fill="FFFFFF"/>
        </w:rPr>
        <w:fldChar w:fldCharType="begin"/>
      </w:r>
      <w:r>
        <w:rPr>
          <w:rFonts w:hint="eastAsia" w:ascii="微软雅黑" w:hAnsi="微软雅黑" w:eastAsia="微软雅黑" w:cs="微软雅黑"/>
          <w:i w:val="0"/>
          <w:iCs w:val="0"/>
          <w:caps w:val="0"/>
          <w:spacing w:val="0"/>
          <w:sz w:val="28"/>
          <w:szCs w:val="28"/>
          <w:u w:val="none"/>
          <w:bdr w:val="none" w:color="auto" w:sz="0" w:space="0"/>
          <w:shd w:val="clear" w:fill="FFFFFF"/>
        </w:rPr>
        <w:instrText xml:space="preserve"> HYPERLINK "https://sthjt.xinjiang.gov.cn/xjepd/sthjt_hbfg/202412/8b7c9ad5abaf4bee8221960aabe0710e/files/%E6%89%BF%E8%AF%BA%E4%B9%A6%EF%BC%88%E6%A8%A1%E6%9D%BF%EF%BC%89.docx" \t "https://sthjt.xinjiang.gov.cn/xjepd/sthjt_hbfg/202412/_blank" </w:instrText>
      </w:r>
      <w:r>
        <w:rPr>
          <w:rFonts w:hint="eastAsia" w:ascii="微软雅黑" w:hAnsi="微软雅黑" w:eastAsia="微软雅黑" w:cs="微软雅黑"/>
          <w:i w:val="0"/>
          <w:iCs w:val="0"/>
          <w:caps w:val="0"/>
          <w:spacing w:val="0"/>
          <w:sz w:val="28"/>
          <w:szCs w:val="28"/>
          <w:u w:val="none"/>
          <w:bdr w:val="none" w:color="auto" w:sz="0" w:space="0"/>
          <w:shd w:val="clear" w:fill="FFFFFF"/>
        </w:rPr>
        <w:fldChar w:fldCharType="separate"/>
      </w:r>
      <w:r>
        <w:rPr>
          <w:rStyle w:val="7"/>
          <w:rFonts w:hint="eastAsia" w:ascii="微软雅黑" w:hAnsi="微软雅黑" w:eastAsia="微软雅黑" w:cs="微软雅黑"/>
          <w:i w:val="0"/>
          <w:iCs w:val="0"/>
          <w:caps w:val="0"/>
          <w:spacing w:val="0"/>
          <w:sz w:val="28"/>
          <w:szCs w:val="28"/>
          <w:u w:val="none"/>
          <w:bdr w:val="none" w:color="auto" w:sz="0" w:space="0"/>
          <w:shd w:val="clear" w:fill="FFFFFF"/>
        </w:rPr>
        <w:t>承诺书（模板）</w:t>
      </w:r>
      <w:r>
        <w:rPr>
          <w:rFonts w:hint="eastAsia" w:ascii="微软雅黑" w:hAnsi="微软雅黑" w:eastAsia="微软雅黑" w:cs="微软雅黑"/>
          <w:i w:val="0"/>
          <w:iCs w:val="0"/>
          <w:caps w:val="0"/>
          <w:spacing w:val="0"/>
          <w:sz w:val="28"/>
          <w:szCs w:val="28"/>
          <w:u w:val="none"/>
          <w:bdr w:val="none" w:color="auto" w:sz="0" w:space="0"/>
          <w:shd w:val="clear" w:fill="FFFFFF"/>
        </w:rPr>
        <w:fldChar w:fldCharType="end"/>
      </w:r>
    </w:p>
    <w:p w14:paraId="71EB52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14"/>
          <w:sz w:val="28"/>
          <w:szCs w:val="28"/>
          <w:bdr w:val="none" w:color="auto" w:sz="0" w:space="0"/>
          <w:shd w:val="clear" w:fill="FFFFFF"/>
        </w:rPr>
        <w:t>  </w:t>
      </w:r>
      <w:r>
        <w:rPr>
          <w:rFonts w:hint="eastAsia" w:ascii="宋体" w:hAnsi="宋体" w:eastAsia="宋体" w:cs="宋体"/>
          <w:i w:val="0"/>
          <w:iCs w:val="0"/>
          <w:caps w:val="0"/>
          <w:color w:val="000000"/>
          <w:spacing w:val="0"/>
          <w:sz w:val="18"/>
          <w:szCs w:val="18"/>
          <w:bdr w:val="none" w:color="auto" w:sz="0" w:space="0"/>
          <w:shd w:val="clear" w:fill="FFFFFF"/>
        </w:rPr>
        <w:t> </w:t>
      </w:r>
    </w:p>
    <w:p w14:paraId="184873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sz w:val="28"/>
          <w:szCs w:val="28"/>
          <w:bdr w:val="none" w:color="auto" w:sz="0" w:space="0"/>
          <w:shd w:val="clear" w:fill="FFFFFF"/>
        </w:rPr>
        <w:t> </w:t>
      </w:r>
    </w:p>
    <w:p w14:paraId="483425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right"/>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14"/>
          <w:sz w:val="28"/>
          <w:szCs w:val="28"/>
          <w:bdr w:val="none" w:color="auto" w:sz="0" w:space="0"/>
          <w:shd w:val="clear" w:fill="FFFFFF"/>
        </w:rPr>
        <w:t>新疆维吾尔自治区生态环境厅</w:t>
      </w:r>
      <w:r>
        <w:rPr>
          <w:rFonts w:hint="eastAsia" w:ascii="微软雅黑" w:hAnsi="微软雅黑" w:eastAsia="微软雅黑" w:cs="微软雅黑"/>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000000"/>
          <w:spacing w:val="-14"/>
          <w:sz w:val="28"/>
          <w:szCs w:val="28"/>
          <w:bdr w:val="none" w:color="auto" w:sz="0" w:space="0"/>
          <w:shd w:val="clear" w:fill="FFFFFF"/>
        </w:rPr>
        <w:t>新疆生产建设兵团生态环境局</w:t>
      </w:r>
    </w:p>
    <w:p w14:paraId="615C0C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right"/>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2024年12月10日</w:t>
      </w:r>
    </w:p>
    <w:p w14:paraId="152177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rPr>
      </w:pPr>
    </w:p>
    <w:p w14:paraId="21B2BF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b w:val="0"/>
          <w:bCs w:val="0"/>
          <w:i w:val="0"/>
          <w:iCs w:val="0"/>
          <w:caps w:val="0"/>
          <w:color w:val="000000"/>
          <w:spacing w:val="0"/>
          <w:sz w:val="28"/>
          <w:szCs w:val="28"/>
          <w:bdr w:val="none" w:color="auto" w:sz="0" w:space="0"/>
          <w:shd w:val="clear" w:fill="FFFFFF"/>
        </w:rPr>
        <w:t> （联系人：自治区生态环境保护综合行政执法局，路广利，联系方式：0991-2337731；新疆生产建设兵团生态环境局综合执法监督局，郭子龙，联系方式：0991-2899335）</w:t>
      </w:r>
    </w:p>
    <w:p w14:paraId="0B1502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p w14:paraId="6F2670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val="0"/>
          <w:bCs w:val="0"/>
          <w:i w:val="0"/>
          <w:iCs w:val="0"/>
          <w:caps w:val="0"/>
          <w:color w:val="000000"/>
          <w:spacing w:val="0"/>
          <w:kern w:val="0"/>
          <w:sz w:val="28"/>
          <w:szCs w:val="28"/>
          <w:bdr w:val="none" w:color="auto" w:sz="0" w:space="0"/>
          <w:shd w:val="clear" w:fill="FFFFFF"/>
          <w:lang w:val="en-US" w:eastAsia="zh-CN" w:bidi="ar"/>
        </w:rPr>
        <w:t>    解读链接：【文字版解读】</w:t>
      </w:r>
      <w:r>
        <w:rPr>
          <w:rFonts w:hint="eastAsia" w:ascii="微软雅黑" w:hAnsi="微软雅黑" w:eastAsia="微软雅黑" w:cs="微软雅黑"/>
          <w:b w:val="0"/>
          <w:bCs w:val="0"/>
          <w:i w:val="0"/>
          <w:iCs w:val="0"/>
          <w:caps w:val="0"/>
          <w:spacing w:val="0"/>
          <w:kern w:val="0"/>
          <w:sz w:val="28"/>
          <w:szCs w:val="28"/>
          <w:u w:val="none"/>
          <w:bdr w:val="none" w:color="auto" w:sz="0" w:space="0"/>
          <w:shd w:val="clear" w:fill="FFFFFF"/>
          <w:lang w:val="en-US" w:eastAsia="zh-CN" w:bidi="ar"/>
        </w:rPr>
        <w:fldChar w:fldCharType="begin"/>
      </w:r>
      <w:r>
        <w:rPr>
          <w:rFonts w:hint="eastAsia" w:ascii="微软雅黑" w:hAnsi="微软雅黑" w:eastAsia="微软雅黑" w:cs="微软雅黑"/>
          <w:b w:val="0"/>
          <w:bCs w:val="0"/>
          <w:i w:val="0"/>
          <w:iCs w:val="0"/>
          <w:caps w:val="0"/>
          <w:spacing w:val="0"/>
          <w:kern w:val="0"/>
          <w:sz w:val="28"/>
          <w:szCs w:val="28"/>
          <w:u w:val="none"/>
          <w:bdr w:val="none" w:color="auto" w:sz="0" w:space="0"/>
          <w:shd w:val="clear" w:fill="FFFFFF"/>
          <w:lang w:val="en-US" w:eastAsia="zh-CN" w:bidi="ar"/>
        </w:rPr>
        <w:instrText xml:space="preserve"> HYPERLINK "https://sthjt.xinjiang.gov.cn/xjepd/fgbzczcjd/202412/2192a3554bc34aa3a417b1db68e78863.shtml" </w:instrText>
      </w:r>
      <w:r>
        <w:rPr>
          <w:rFonts w:hint="eastAsia" w:ascii="微软雅黑" w:hAnsi="微软雅黑" w:eastAsia="微软雅黑" w:cs="微软雅黑"/>
          <w:b w:val="0"/>
          <w:bCs w:val="0"/>
          <w:i w:val="0"/>
          <w:iCs w:val="0"/>
          <w:caps w:val="0"/>
          <w:spacing w:val="0"/>
          <w:kern w:val="0"/>
          <w:sz w:val="28"/>
          <w:szCs w:val="28"/>
          <w:u w:val="none"/>
          <w:bdr w:val="none" w:color="auto" w:sz="0" w:space="0"/>
          <w:shd w:val="clear" w:fill="FFFFFF"/>
          <w:lang w:val="en-US" w:eastAsia="zh-CN" w:bidi="ar"/>
        </w:rPr>
        <w:fldChar w:fldCharType="separate"/>
      </w:r>
      <w:r>
        <w:rPr>
          <w:rStyle w:val="7"/>
          <w:rFonts w:hint="eastAsia" w:ascii="微软雅黑" w:hAnsi="微软雅黑" w:eastAsia="微软雅黑" w:cs="微软雅黑"/>
          <w:b w:val="0"/>
          <w:bCs w:val="0"/>
          <w:i w:val="0"/>
          <w:iCs w:val="0"/>
          <w:caps w:val="0"/>
          <w:spacing w:val="0"/>
          <w:sz w:val="28"/>
          <w:szCs w:val="28"/>
          <w:u w:val="none"/>
          <w:bdr w:val="none" w:color="auto" w:sz="0" w:space="0"/>
          <w:shd w:val="clear" w:fill="FFFFFF"/>
        </w:rPr>
        <w:t>关于《关于印发新疆维吾尔自治区 新疆生产建设兵团生态环境部门不予处罚和不予强制事项清单（2024年版）的通知》的解读</w:t>
      </w:r>
      <w:r>
        <w:rPr>
          <w:rFonts w:hint="eastAsia" w:ascii="微软雅黑" w:hAnsi="微软雅黑" w:eastAsia="微软雅黑" w:cs="微软雅黑"/>
          <w:b w:val="0"/>
          <w:bCs w:val="0"/>
          <w:i w:val="0"/>
          <w:iCs w:val="0"/>
          <w:caps w:val="0"/>
          <w:spacing w:val="0"/>
          <w:kern w:val="0"/>
          <w:sz w:val="28"/>
          <w:szCs w:val="28"/>
          <w:u w:val="none"/>
          <w:bdr w:val="none" w:color="auto" w:sz="0" w:space="0"/>
          <w:shd w:val="clear" w:fill="FFFFFF"/>
          <w:lang w:val="en-US" w:eastAsia="zh-CN" w:bidi="ar"/>
        </w:rPr>
        <w:fldChar w:fldCharType="end"/>
      </w:r>
    </w:p>
    <w:p w14:paraId="73805129">
      <w:pPr>
        <w:sectPr>
          <w:pgSz w:w="11906" w:h="16838"/>
          <w:pgMar w:top="1440" w:right="1800" w:bottom="1440" w:left="1800" w:header="851" w:footer="992" w:gutter="0"/>
          <w:cols w:space="425" w:num="1"/>
          <w:docGrid w:type="lines" w:linePitch="312" w:charSpace="0"/>
        </w:sectPr>
      </w:pPr>
    </w:p>
    <w:p w14:paraId="1D1A7EBE">
      <w:pPr>
        <w:pStyle w:val="2"/>
        <w:jc w:val="left"/>
        <w:rPr>
          <w:rFonts w:hint="eastAsia" w:ascii="黑体" w:hAnsi="黑体" w:eastAsia="黑体" w:cs="黑体"/>
          <w:sz w:val="32"/>
          <w:szCs w:val="32"/>
        </w:rPr>
      </w:pPr>
      <w:r>
        <w:rPr>
          <w:rFonts w:hint="eastAsia" w:ascii="黑体" w:hAnsi="黑体" w:eastAsia="黑体" w:cs="黑体"/>
          <w:sz w:val="32"/>
          <w:szCs w:val="32"/>
        </w:rPr>
        <w:t>附件1</w:t>
      </w:r>
    </w:p>
    <w:p w14:paraId="1C7D0695">
      <w:pPr>
        <w:pStyle w:val="4"/>
        <w:widowControl/>
        <w:shd w:val="clear" w:color="auto" w:fill="FFFFFF"/>
        <w:spacing w:before="0" w:beforeAutospacing="0" w:after="0" w:afterAutospacing="0" w:line="600" w:lineRule="exact"/>
        <w:ind w:left="1800" w:hanging="1800" w:hangingChars="600"/>
        <w:jc w:val="both"/>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color w:val="000000"/>
          <w:sz w:val="30"/>
          <w:szCs w:val="30"/>
          <w:shd w:val="clear" w:color="auto" w:fill="FFFFFF"/>
        </w:rPr>
        <w:t>新疆维吾尔自治区 新疆生产建设兵团生态环境部门不予处罚事项和不予强制事项清单(2024年版)</w:t>
      </w:r>
    </w:p>
    <w:tbl>
      <w:tblPr>
        <w:tblStyle w:val="5"/>
        <w:tblW w:w="0" w:type="auto"/>
        <w:jc w:val="center"/>
        <w:tblLayout w:type="fixed"/>
        <w:tblCellMar>
          <w:top w:w="0" w:type="dxa"/>
          <w:left w:w="108" w:type="dxa"/>
          <w:bottom w:w="0" w:type="dxa"/>
          <w:right w:w="108" w:type="dxa"/>
        </w:tblCellMar>
      </w:tblPr>
      <w:tblGrid>
        <w:gridCol w:w="438"/>
        <w:gridCol w:w="936"/>
        <w:gridCol w:w="2665"/>
        <w:gridCol w:w="5816"/>
        <w:gridCol w:w="4717"/>
      </w:tblGrid>
      <w:tr w14:paraId="4F47E024">
        <w:tblPrEx>
          <w:tblCellMar>
            <w:top w:w="0" w:type="dxa"/>
            <w:left w:w="108" w:type="dxa"/>
            <w:bottom w:w="0" w:type="dxa"/>
            <w:right w:w="108" w:type="dxa"/>
          </w:tblCellMar>
        </w:tblPrEx>
        <w:trPr>
          <w:trHeight w:val="800" w:hRule="atLeast"/>
          <w:tblHeader/>
          <w:jc w:val="center"/>
        </w:trPr>
        <w:tc>
          <w:tcPr>
            <w:tcW w:w="438" w:type="dxa"/>
            <w:tcBorders>
              <w:top w:val="single" w:color="auto" w:sz="4" w:space="0"/>
              <w:left w:val="single" w:color="auto" w:sz="4" w:space="0"/>
              <w:bottom w:val="single" w:color="auto" w:sz="4" w:space="0"/>
              <w:right w:val="single" w:color="auto" w:sz="4" w:space="0"/>
            </w:tcBorders>
            <w:vAlign w:val="center"/>
          </w:tcPr>
          <w:p w14:paraId="03724784">
            <w:pPr>
              <w:widowControl/>
              <w:spacing w:line="360" w:lineRule="exact"/>
              <w:jc w:val="center"/>
              <w:textAlignment w:val="center"/>
              <w:rPr>
                <w:rFonts w:ascii="黑体" w:hAnsi="宋体" w:eastAsia="黑体" w:cs="黑体"/>
                <w:color w:val="000000"/>
                <w:sz w:val="28"/>
                <w:szCs w:val="28"/>
              </w:rPr>
            </w:pPr>
            <w:r>
              <w:rPr>
                <w:rFonts w:ascii="黑体" w:hAnsi="宋体" w:eastAsia="黑体" w:cs="黑体"/>
                <w:color w:val="000000"/>
                <w:kern w:val="0"/>
                <w:sz w:val="28"/>
                <w:szCs w:val="28"/>
                <w:lang w:bidi="ar"/>
              </w:rPr>
              <w:t>序号</w:t>
            </w:r>
          </w:p>
        </w:tc>
        <w:tc>
          <w:tcPr>
            <w:tcW w:w="936" w:type="dxa"/>
            <w:tcBorders>
              <w:top w:val="single" w:color="auto" w:sz="4" w:space="0"/>
              <w:left w:val="single" w:color="auto" w:sz="4" w:space="0"/>
              <w:bottom w:val="single" w:color="auto" w:sz="4" w:space="0"/>
              <w:right w:val="single" w:color="auto" w:sz="4" w:space="0"/>
            </w:tcBorders>
            <w:vAlign w:val="center"/>
          </w:tcPr>
          <w:p w14:paraId="522E4E12">
            <w:pPr>
              <w:widowControl/>
              <w:spacing w:line="360" w:lineRule="exact"/>
              <w:jc w:val="center"/>
              <w:textAlignment w:val="center"/>
              <w:rPr>
                <w:rFonts w:ascii="黑体" w:hAnsi="宋体" w:eastAsia="黑体" w:cs="黑体"/>
                <w:color w:val="000000"/>
                <w:sz w:val="28"/>
                <w:szCs w:val="28"/>
              </w:rPr>
            </w:pPr>
            <w:r>
              <w:rPr>
                <w:rFonts w:ascii="黑体" w:hAnsi="宋体" w:eastAsia="黑体" w:cs="黑体"/>
                <w:color w:val="000000"/>
                <w:kern w:val="0"/>
                <w:sz w:val="28"/>
                <w:szCs w:val="28"/>
                <w:lang w:bidi="ar"/>
              </w:rPr>
              <w:t>类别</w:t>
            </w:r>
          </w:p>
        </w:tc>
        <w:tc>
          <w:tcPr>
            <w:tcW w:w="2665" w:type="dxa"/>
            <w:tcBorders>
              <w:top w:val="single" w:color="auto" w:sz="4" w:space="0"/>
              <w:left w:val="single" w:color="auto" w:sz="4" w:space="0"/>
              <w:bottom w:val="single" w:color="auto" w:sz="4" w:space="0"/>
              <w:right w:val="single" w:color="auto" w:sz="4" w:space="0"/>
            </w:tcBorders>
            <w:vAlign w:val="center"/>
          </w:tcPr>
          <w:p w14:paraId="5575EE71">
            <w:pPr>
              <w:widowControl/>
              <w:spacing w:line="360" w:lineRule="exact"/>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不予处罚</w:t>
            </w:r>
            <w:r>
              <w:rPr>
                <w:rFonts w:ascii="黑体" w:hAnsi="宋体" w:eastAsia="黑体" w:cs="黑体"/>
                <w:color w:val="000000"/>
                <w:kern w:val="0"/>
                <w:sz w:val="28"/>
                <w:szCs w:val="28"/>
                <w:lang w:bidi="ar"/>
              </w:rPr>
              <w:t>事项名称</w:t>
            </w:r>
          </w:p>
        </w:tc>
        <w:tc>
          <w:tcPr>
            <w:tcW w:w="5816" w:type="dxa"/>
            <w:tcBorders>
              <w:top w:val="single" w:color="auto" w:sz="4" w:space="0"/>
              <w:left w:val="single" w:color="auto" w:sz="4" w:space="0"/>
              <w:bottom w:val="single" w:color="auto" w:sz="4" w:space="0"/>
              <w:right w:val="single" w:color="auto" w:sz="4" w:space="0"/>
            </w:tcBorders>
            <w:vAlign w:val="center"/>
          </w:tcPr>
          <w:p w14:paraId="28494017">
            <w:pPr>
              <w:widowControl/>
              <w:spacing w:line="360" w:lineRule="exact"/>
              <w:ind w:firstLine="1960" w:firstLineChars="700"/>
              <w:textAlignment w:val="center"/>
              <w:rPr>
                <w:rFonts w:hint="eastAsia" w:ascii="黑体" w:hAnsi="宋体" w:eastAsia="黑体" w:cs="黑体"/>
                <w:color w:val="000000"/>
                <w:sz w:val="28"/>
                <w:szCs w:val="28"/>
              </w:rPr>
            </w:pPr>
            <w:r>
              <w:rPr>
                <w:rFonts w:hint="eastAsia" w:ascii="黑体" w:hAnsi="宋体" w:eastAsia="黑体" w:cs="黑体"/>
                <w:color w:val="000000"/>
                <w:sz w:val="28"/>
                <w:szCs w:val="28"/>
              </w:rPr>
              <w:t>不予处罚情形</w:t>
            </w:r>
          </w:p>
        </w:tc>
        <w:tc>
          <w:tcPr>
            <w:tcW w:w="4717" w:type="dxa"/>
            <w:tcBorders>
              <w:top w:val="single" w:color="auto" w:sz="4" w:space="0"/>
              <w:left w:val="single" w:color="auto" w:sz="4" w:space="0"/>
              <w:bottom w:val="single" w:color="auto" w:sz="4" w:space="0"/>
              <w:right w:val="single" w:color="auto" w:sz="4" w:space="0"/>
            </w:tcBorders>
            <w:vAlign w:val="center"/>
          </w:tcPr>
          <w:p w14:paraId="1D2C806F">
            <w:pPr>
              <w:widowControl/>
              <w:spacing w:line="360" w:lineRule="exact"/>
              <w:jc w:val="center"/>
              <w:textAlignment w:val="center"/>
              <w:rPr>
                <w:rFonts w:ascii="黑体" w:hAnsi="宋体" w:eastAsia="黑体" w:cs="黑体"/>
                <w:color w:val="000000"/>
                <w:kern w:val="0"/>
                <w:sz w:val="28"/>
                <w:szCs w:val="28"/>
                <w:lang w:bidi="ar"/>
              </w:rPr>
            </w:pPr>
            <w:r>
              <w:rPr>
                <w:rFonts w:hint="eastAsia" w:ascii="黑体" w:hAnsi="宋体" w:eastAsia="黑体" w:cs="黑体"/>
                <w:color w:val="000000"/>
                <w:kern w:val="0"/>
                <w:sz w:val="28"/>
                <w:szCs w:val="28"/>
                <w:lang w:bidi="ar"/>
              </w:rPr>
              <w:t>违法行为法律依据</w:t>
            </w:r>
          </w:p>
        </w:tc>
      </w:tr>
      <w:tr w14:paraId="0E2EAB62">
        <w:tblPrEx>
          <w:tblCellMar>
            <w:top w:w="0" w:type="dxa"/>
            <w:left w:w="108" w:type="dxa"/>
            <w:bottom w:w="0" w:type="dxa"/>
            <w:right w:w="108" w:type="dxa"/>
          </w:tblCellMar>
        </w:tblPrEx>
        <w:trPr>
          <w:trHeight w:val="3888" w:hRule="atLeast"/>
          <w:jc w:val="center"/>
        </w:trPr>
        <w:tc>
          <w:tcPr>
            <w:tcW w:w="438" w:type="dxa"/>
            <w:tcBorders>
              <w:top w:val="single" w:color="auto" w:sz="4" w:space="0"/>
              <w:left w:val="single" w:color="000000" w:sz="4" w:space="0"/>
              <w:bottom w:val="single" w:color="000000" w:sz="4" w:space="0"/>
              <w:right w:val="single" w:color="000000" w:sz="4" w:space="0"/>
            </w:tcBorders>
            <w:vAlign w:val="center"/>
          </w:tcPr>
          <w:p w14:paraId="136E994D">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936" w:type="dxa"/>
            <w:vMerge w:val="restart"/>
            <w:tcBorders>
              <w:top w:val="single" w:color="auto" w:sz="4" w:space="0"/>
              <w:left w:val="single" w:color="000000" w:sz="4" w:space="0"/>
              <w:bottom w:val="single" w:color="000000" w:sz="4" w:space="0"/>
              <w:right w:val="single" w:color="000000" w:sz="4" w:space="0"/>
            </w:tcBorders>
            <w:vAlign w:val="center"/>
          </w:tcPr>
          <w:p w14:paraId="14FBD8BF">
            <w:pPr>
              <w:widowControl/>
              <w:spacing w:line="36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建设项目、环境应急类</w:t>
            </w:r>
          </w:p>
        </w:tc>
        <w:tc>
          <w:tcPr>
            <w:tcW w:w="2665" w:type="dxa"/>
            <w:tcBorders>
              <w:top w:val="single" w:color="auto" w:sz="4" w:space="0"/>
              <w:left w:val="single" w:color="000000" w:sz="4" w:space="0"/>
              <w:bottom w:val="single" w:color="000000" w:sz="4" w:space="0"/>
              <w:right w:val="single" w:color="000000" w:sz="4" w:space="0"/>
            </w:tcBorders>
            <w:vAlign w:val="center"/>
          </w:tcPr>
          <w:p w14:paraId="1CB6CC97">
            <w:pPr>
              <w:widowControl/>
              <w:spacing w:line="360" w:lineRule="exac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对建设项目“未批先建”</w:t>
            </w:r>
          </w:p>
          <w:p w14:paraId="2BD36EFC">
            <w:pPr>
              <w:widowControl/>
              <w:spacing w:line="36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行为的行政处罚</w:t>
            </w:r>
          </w:p>
        </w:tc>
        <w:tc>
          <w:tcPr>
            <w:tcW w:w="5816" w:type="dxa"/>
            <w:tcBorders>
              <w:top w:val="single" w:color="auto" w:sz="4" w:space="0"/>
              <w:left w:val="single" w:color="000000" w:sz="4" w:space="0"/>
              <w:bottom w:val="single" w:color="000000" w:sz="4" w:space="0"/>
              <w:right w:val="single" w:color="000000" w:sz="4" w:space="0"/>
            </w:tcBorders>
            <w:vAlign w:val="center"/>
          </w:tcPr>
          <w:p w14:paraId="695580E0">
            <w:pPr>
              <w:widowControl/>
              <w:spacing w:line="360" w:lineRule="exact"/>
              <w:ind w:right="36" w:rightChars="17"/>
              <w:textAlignment w:val="center"/>
              <w:rPr>
                <w:rFonts w:hint="eastAsia" w:ascii="仿宋_GB2312" w:hAnsi="仿宋_GB2312" w:cs="仿宋_GB2312"/>
                <w:kern w:val="0"/>
                <w:sz w:val="21"/>
                <w:szCs w:val="21"/>
                <w:lang w:bidi="ar"/>
              </w:rPr>
            </w:pPr>
            <w:r>
              <w:rPr>
                <w:rFonts w:hint="eastAsia" w:ascii="仿宋_GB2312" w:hAnsi="仿宋_GB2312" w:cs="仿宋_GB2312"/>
                <w:color w:val="000000"/>
                <w:kern w:val="0"/>
                <w:sz w:val="21"/>
                <w:szCs w:val="21"/>
                <w:lang w:bidi="ar"/>
              </w:rPr>
              <w:t xml:space="preserve">  </w:t>
            </w:r>
            <w:r>
              <w:rPr>
                <w:rFonts w:hint="eastAsia" w:ascii="仿宋_GB2312" w:hAnsi="仿宋_GB2312" w:cs="仿宋_GB2312"/>
                <w:color w:val="FF0000"/>
                <w:kern w:val="0"/>
                <w:sz w:val="21"/>
                <w:szCs w:val="21"/>
                <w:lang w:bidi="ar"/>
              </w:rPr>
              <w:t xml:space="preserve"> </w:t>
            </w:r>
            <w:r>
              <w:rPr>
                <w:rFonts w:hint="eastAsia" w:ascii="仿宋_GB2312" w:hAnsi="仿宋_GB2312" w:cs="仿宋_GB2312"/>
                <w:kern w:val="0"/>
                <w:sz w:val="21"/>
                <w:szCs w:val="21"/>
                <w:lang w:bidi="ar"/>
              </w:rPr>
              <w:t>首次违法，在《建设项目环境影响评价分类管理名录》第三条第（一）（二）项所列环境敏感区以外，符合下列任一情形的：</w:t>
            </w:r>
          </w:p>
          <w:p w14:paraId="103E0E95">
            <w:pPr>
              <w:widowControl/>
              <w:tabs>
                <w:tab w:val="left" w:pos="312"/>
              </w:tabs>
              <w:spacing w:line="360" w:lineRule="exact"/>
              <w:ind w:right="36" w:rightChars="17" w:firstLine="420" w:firstLineChars="200"/>
              <w:textAlignment w:val="center"/>
              <w:rPr>
                <w:rFonts w:hint="eastAsia" w:ascii="仿宋_GB2312" w:hAnsi="仿宋_GB2312" w:cs="仿宋_GB2312"/>
                <w:kern w:val="0"/>
                <w:sz w:val="21"/>
                <w:szCs w:val="21"/>
                <w:lang w:bidi="ar"/>
              </w:rPr>
            </w:pPr>
            <w:r>
              <w:rPr>
                <w:rFonts w:hint="eastAsia" w:ascii="仿宋_GB2312" w:hAnsi="仿宋_GB2312" w:cs="仿宋_GB2312"/>
                <w:kern w:val="0"/>
                <w:sz w:val="21"/>
                <w:szCs w:val="21"/>
                <w:lang w:bidi="ar"/>
              </w:rPr>
              <w:t>1.新建项目（需编制环境影响报告书的项目除外）未依法通过环评审批手续擅自开工建设，处于厂房建设阶段且主体设施未安装建设，未投产或者使用，执法人员现场检查发现违法行为后立即停止建设或者恢复原状，且没有造成环境污染的；</w:t>
            </w:r>
          </w:p>
          <w:p w14:paraId="37C2319C">
            <w:pPr>
              <w:widowControl/>
              <w:tabs>
                <w:tab w:val="left" w:pos="312"/>
              </w:tabs>
              <w:spacing w:line="360" w:lineRule="exact"/>
              <w:ind w:right="36" w:rightChars="17" w:firstLine="420" w:firstLineChars="200"/>
              <w:textAlignment w:val="center"/>
              <w:rPr>
                <w:rFonts w:hint="eastAsia" w:ascii="仿宋_GB2312" w:hAnsi="仿宋_GB2312" w:cs="仿宋_GB2312"/>
                <w:color w:val="000000"/>
                <w:sz w:val="21"/>
                <w:szCs w:val="21"/>
              </w:rPr>
            </w:pPr>
            <w:r>
              <w:rPr>
                <w:rFonts w:hint="eastAsia" w:ascii="仿宋_GB2312" w:hAnsi="仿宋_GB2312" w:cs="仿宋_GB2312"/>
                <w:kern w:val="0"/>
                <w:sz w:val="21"/>
                <w:szCs w:val="21"/>
                <w:lang w:bidi="ar"/>
              </w:rPr>
              <w:t>2.改、扩建项目未依法通过环评审批手续擅自开工建设，未投产或者使用，执法人员现场检查发现违法行为后立即停止建设或者恢复原状，且违法行为未造成生态环境破坏或造成环境污染后果的。</w:t>
            </w:r>
          </w:p>
        </w:tc>
        <w:tc>
          <w:tcPr>
            <w:tcW w:w="4717" w:type="dxa"/>
            <w:tcBorders>
              <w:top w:val="single" w:color="auto" w:sz="4" w:space="0"/>
              <w:left w:val="single" w:color="000000" w:sz="4" w:space="0"/>
              <w:bottom w:val="single" w:color="000000" w:sz="4" w:space="0"/>
              <w:right w:val="single" w:color="000000" w:sz="4" w:space="0"/>
            </w:tcBorders>
            <w:vAlign w:val="center"/>
          </w:tcPr>
          <w:p w14:paraId="2FF61274">
            <w:pPr>
              <w:widowControl/>
              <w:spacing w:line="360" w:lineRule="exact"/>
              <w:jc w:val="lef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《中华人民共和国环境影响评价法》第二十二条第一款、《中华人民共和国环境影响评价法》第三十一条第一款</w:t>
            </w:r>
          </w:p>
        </w:tc>
      </w:tr>
      <w:tr w14:paraId="0CA2144C">
        <w:tblPrEx>
          <w:tblCellMar>
            <w:top w:w="0" w:type="dxa"/>
            <w:left w:w="108" w:type="dxa"/>
            <w:bottom w:w="0" w:type="dxa"/>
            <w:right w:w="108" w:type="dxa"/>
          </w:tblCellMar>
        </w:tblPrEx>
        <w:trPr>
          <w:trHeight w:val="2248" w:hRule="atLeast"/>
          <w:jc w:val="center"/>
        </w:trPr>
        <w:tc>
          <w:tcPr>
            <w:tcW w:w="438" w:type="dxa"/>
            <w:tcBorders>
              <w:top w:val="single" w:color="000000" w:sz="4" w:space="0"/>
              <w:left w:val="single" w:color="000000" w:sz="4" w:space="0"/>
              <w:bottom w:val="single" w:color="000000" w:sz="4" w:space="0"/>
              <w:right w:val="single" w:color="000000" w:sz="4" w:space="0"/>
            </w:tcBorders>
            <w:vAlign w:val="center"/>
          </w:tcPr>
          <w:p w14:paraId="2F718DC4">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936" w:type="dxa"/>
            <w:vMerge w:val="continue"/>
            <w:tcBorders>
              <w:top w:val="single" w:color="000000" w:sz="4" w:space="0"/>
              <w:left w:val="single" w:color="000000" w:sz="4" w:space="0"/>
              <w:bottom w:val="single" w:color="000000" w:sz="4" w:space="0"/>
              <w:right w:val="single" w:color="000000" w:sz="4" w:space="0"/>
            </w:tcBorders>
            <w:vAlign w:val="center"/>
          </w:tcPr>
          <w:p w14:paraId="325876C4">
            <w:pPr>
              <w:widowControl/>
              <w:spacing w:line="360" w:lineRule="exact"/>
              <w:jc w:val="center"/>
              <w:rPr>
                <w:rFonts w:hint="eastAsia" w:ascii="仿宋_GB2312" w:hAnsi="仿宋_GB2312" w:cs="仿宋_GB2312"/>
                <w:color w:val="000000"/>
                <w:sz w:val="21"/>
                <w:szCs w:val="21"/>
              </w:rPr>
            </w:pPr>
          </w:p>
        </w:tc>
        <w:tc>
          <w:tcPr>
            <w:tcW w:w="2665" w:type="dxa"/>
            <w:tcBorders>
              <w:top w:val="single" w:color="000000" w:sz="4" w:space="0"/>
              <w:left w:val="single" w:color="000000" w:sz="4" w:space="0"/>
              <w:bottom w:val="single" w:color="000000" w:sz="4" w:space="0"/>
              <w:right w:val="single" w:color="000000" w:sz="4" w:space="0"/>
            </w:tcBorders>
            <w:vAlign w:val="center"/>
          </w:tcPr>
          <w:p w14:paraId="06D0F986">
            <w:pPr>
              <w:widowControl/>
              <w:spacing w:line="360" w:lineRule="exac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对建设项目未依法备案</w:t>
            </w:r>
          </w:p>
          <w:p w14:paraId="1A0145A0">
            <w:pPr>
              <w:widowControl/>
              <w:spacing w:line="36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行为的行政处罚</w:t>
            </w:r>
          </w:p>
        </w:tc>
        <w:tc>
          <w:tcPr>
            <w:tcW w:w="5816" w:type="dxa"/>
            <w:tcBorders>
              <w:top w:val="single" w:color="000000" w:sz="4" w:space="0"/>
              <w:left w:val="single" w:color="000000" w:sz="4" w:space="0"/>
              <w:bottom w:val="single" w:color="000000" w:sz="4" w:space="0"/>
              <w:right w:val="single" w:color="000000" w:sz="4" w:space="0"/>
            </w:tcBorders>
            <w:vAlign w:val="center"/>
          </w:tcPr>
          <w:p w14:paraId="3DD8CA97">
            <w:pPr>
              <w:widowControl/>
              <w:spacing w:line="36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 xml:space="preserve">    建设项目未依法备案环境影响登记表，在执法人员检查发现违法行为次日起5个工作日内按要求完成备案，未造成环境污染的。</w:t>
            </w:r>
          </w:p>
        </w:tc>
        <w:tc>
          <w:tcPr>
            <w:tcW w:w="4717" w:type="dxa"/>
            <w:tcBorders>
              <w:top w:val="single" w:color="000000" w:sz="4" w:space="0"/>
              <w:left w:val="single" w:color="000000" w:sz="4" w:space="0"/>
              <w:bottom w:val="single" w:color="000000" w:sz="4" w:space="0"/>
              <w:right w:val="single" w:color="000000" w:sz="4" w:space="0"/>
            </w:tcBorders>
            <w:vAlign w:val="center"/>
          </w:tcPr>
          <w:p w14:paraId="40E0D6ED">
            <w:pPr>
              <w:widowControl/>
              <w:spacing w:line="360" w:lineRule="exact"/>
              <w:jc w:val="lef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《中华人民共和国环境影响评价法》第二十二条第四款、《中华人民共和国环境影响评价法》第三十一条第三款</w:t>
            </w:r>
          </w:p>
        </w:tc>
      </w:tr>
      <w:tr w14:paraId="699CA1EF">
        <w:tblPrEx>
          <w:tblCellMar>
            <w:top w:w="0" w:type="dxa"/>
            <w:left w:w="108" w:type="dxa"/>
            <w:bottom w:w="0" w:type="dxa"/>
            <w:right w:w="108" w:type="dxa"/>
          </w:tblCellMar>
        </w:tblPrEx>
        <w:trPr>
          <w:trHeight w:val="2895" w:hRule="atLeast"/>
          <w:jc w:val="center"/>
        </w:trPr>
        <w:tc>
          <w:tcPr>
            <w:tcW w:w="438" w:type="dxa"/>
            <w:tcBorders>
              <w:top w:val="single" w:color="000000" w:sz="4" w:space="0"/>
              <w:left w:val="single" w:color="000000" w:sz="4" w:space="0"/>
              <w:bottom w:val="single" w:color="000000" w:sz="4" w:space="0"/>
              <w:right w:val="single" w:color="000000" w:sz="4" w:space="0"/>
            </w:tcBorders>
            <w:vAlign w:val="center"/>
          </w:tcPr>
          <w:p w14:paraId="40F1650D">
            <w:pPr>
              <w:widowControl/>
              <w:spacing w:line="36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w:t>
            </w:r>
          </w:p>
        </w:tc>
        <w:tc>
          <w:tcPr>
            <w:tcW w:w="936" w:type="dxa"/>
            <w:vMerge w:val="continue"/>
            <w:tcBorders>
              <w:top w:val="single" w:color="000000" w:sz="4" w:space="0"/>
              <w:left w:val="single" w:color="000000" w:sz="4" w:space="0"/>
              <w:bottom w:val="single" w:color="000000" w:sz="4" w:space="0"/>
              <w:right w:val="single" w:color="000000" w:sz="4" w:space="0"/>
            </w:tcBorders>
            <w:vAlign w:val="center"/>
          </w:tcPr>
          <w:p w14:paraId="07BE7B78">
            <w:pPr>
              <w:widowControl/>
              <w:spacing w:line="360" w:lineRule="exact"/>
              <w:jc w:val="center"/>
              <w:rPr>
                <w:rFonts w:hint="eastAsia" w:ascii="仿宋_GB2312" w:hAnsi="仿宋_GB2312" w:cs="仿宋_GB2312"/>
                <w:color w:val="000000"/>
                <w:sz w:val="21"/>
                <w:szCs w:val="21"/>
              </w:rPr>
            </w:pPr>
          </w:p>
        </w:tc>
        <w:tc>
          <w:tcPr>
            <w:tcW w:w="2665" w:type="dxa"/>
            <w:tcBorders>
              <w:top w:val="single" w:color="000000" w:sz="4" w:space="0"/>
              <w:left w:val="single" w:color="000000" w:sz="4" w:space="0"/>
              <w:bottom w:val="single" w:color="000000" w:sz="4" w:space="0"/>
              <w:right w:val="single" w:color="000000" w:sz="4" w:space="0"/>
            </w:tcBorders>
            <w:vAlign w:val="center"/>
          </w:tcPr>
          <w:p w14:paraId="3193529B">
            <w:pPr>
              <w:widowControl/>
              <w:spacing w:line="360" w:lineRule="exac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对建设项目“未验先投”</w:t>
            </w:r>
          </w:p>
          <w:p w14:paraId="7BD4DDFF">
            <w:pPr>
              <w:widowControl/>
              <w:spacing w:line="36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行为的行政处罚</w:t>
            </w:r>
          </w:p>
        </w:tc>
        <w:tc>
          <w:tcPr>
            <w:tcW w:w="5816" w:type="dxa"/>
            <w:tcBorders>
              <w:top w:val="single" w:color="000000" w:sz="4" w:space="0"/>
              <w:left w:val="single" w:color="000000" w:sz="4" w:space="0"/>
              <w:bottom w:val="single" w:color="000000" w:sz="4" w:space="0"/>
              <w:right w:val="single" w:color="000000" w:sz="4" w:space="0"/>
            </w:tcBorders>
            <w:vAlign w:val="center"/>
          </w:tcPr>
          <w:p w14:paraId="305569BD">
            <w:pPr>
              <w:widowControl/>
              <w:spacing w:line="36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 xml:space="preserve">    首次违法，建设项目已办理环评审批手续，配套建设的环境保护设施已按照环评批复要求建成并投入生产或使用，未按竣工环境保护验收制度办理环保验收,污染物达标排放，在执法人员现场检查发现违法行为次日起90日内依法完成验收并公开验收报告的。</w:t>
            </w:r>
          </w:p>
        </w:tc>
        <w:tc>
          <w:tcPr>
            <w:tcW w:w="4717" w:type="dxa"/>
            <w:tcBorders>
              <w:top w:val="single" w:color="000000" w:sz="4" w:space="0"/>
              <w:left w:val="single" w:color="000000" w:sz="4" w:space="0"/>
              <w:bottom w:val="single" w:color="000000" w:sz="4" w:space="0"/>
              <w:right w:val="single" w:color="000000" w:sz="4" w:space="0"/>
            </w:tcBorders>
            <w:vAlign w:val="center"/>
          </w:tcPr>
          <w:p w14:paraId="57C632ED">
            <w:pPr>
              <w:widowControl/>
              <w:spacing w:line="360" w:lineRule="exact"/>
              <w:jc w:val="lef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《建设项目环境保护管理条例》第十九条第一款、《建设项目环境保护管理条例》第二十三条第一款</w:t>
            </w:r>
          </w:p>
        </w:tc>
      </w:tr>
      <w:tr w14:paraId="54869C31">
        <w:tblPrEx>
          <w:tblCellMar>
            <w:top w:w="0" w:type="dxa"/>
            <w:left w:w="108" w:type="dxa"/>
            <w:bottom w:w="0" w:type="dxa"/>
            <w:right w:w="108" w:type="dxa"/>
          </w:tblCellMar>
        </w:tblPrEx>
        <w:trPr>
          <w:trHeight w:val="2577" w:hRule="atLeast"/>
          <w:jc w:val="center"/>
        </w:trPr>
        <w:tc>
          <w:tcPr>
            <w:tcW w:w="438" w:type="dxa"/>
            <w:tcBorders>
              <w:top w:val="single" w:color="000000" w:sz="4" w:space="0"/>
              <w:left w:val="single" w:color="000000" w:sz="4" w:space="0"/>
              <w:bottom w:val="single" w:color="000000" w:sz="4" w:space="0"/>
              <w:right w:val="single" w:color="000000" w:sz="4" w:space="0"/>
            </w:tcBorders>
            <w:vAlign w:val="center"/>
          </w:tcPr>
          <w:p w14:paraId="38FD46FC">
            <w:pPr>
              <w:widowControl/>
              <w:spacing w:line="36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w:t>
            </w:r>
          </w:p>
        </w:tc>
        <w:tc>
          <w:tcPr>
            <w:tcW w:w="936" w:type="dxa"/>
            <w:vMerge w:val="continue"/>
            <w:tcBorders>
              <w:top w:val="single" w:color="000000" w:sz="4" w:space="0"/>
              <w:left w:val="single" w:color="000000" w:sz="4" w:space="0"/>
              <w:bottom w:val="single" w:color="000000" w:sz="4" w:space="0"/>
              <w:right w:val="single" w:color="000000" w:sz="4" w:space="0"/>
            </w:tcBorders>
            <w:vAlign w:val="center"/>
          </w:tcPr>
          <w:p w14:paraId="6799005F">
            <w:pPr>
              <w:widowControl/>
              <w:spacing w:line="360" w:lineRule="exact"/>
              <w:jc w:val="center"/>
              <w:rPr>
                <w:rFonts w:hint="eastAsia" w:ascii="仿宋_GB2312" w:hAnsi="仿宋_GB2312" w:cs="仿宋_GB2312"/>
                <w:color w:val="000000"/>
                <w:sz w:val="21"/>
                <w:szCs w:val="21"/>
              </w:rPr>
            </w:pPr>
          </w:p>
        </w:tc>
        <w:tc>
          <w:tcPr>
            <w:tcW w:w="2665" w:type="dxa"/>
            <w:tcBorders>
              <w:top w:val="single" w:color="000000" w:sz="4" w:space="0"/>
              <w:left w:val="single" w:color="000000" w:sz="4" w:space="0"/>
              <w:bottom w:val="single" w:color="000000" w:sz="4" w:space="0"/>
              <w:right w:val="single" w:color="000000" w:sz="4" w:space="0"/>
            </w:tcBorders>
            <w:vAlign w:val="center"/>
          </w:tcPr>
          <w:p w14:paraId="73B019A5">
            <w:pPr>
              <w:widowControl/>
              <w:spacing w:line="36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对建设单位未落实防治环境污染和生态破坏的措施、投资概算或未依法开展环境影响后评价行为的行政处罚</w:t>
            </w:r>
          </w:p>
        </w:tc>
        <w:tc>
          <w:tcPr>
            <w:tcW w:w="5816" w:type="dxa"/>
            <w:tcBorders>
              <w:top w:val="single" w:color="000000" w:sz="4" w:space="0"/>
              <w:left w:val="single" w:color="000000" w:sz="4" w:space="0"/>
              <w:bottom w:val="single" w:color="000000" w:sz="4" w:space="0"/>
              <w:right w:val="single" w:color="000000" w:sz="4" w:space="0"/>
            </w:tcBorders>
            <w:vAlign w:val="center"/>
          </w:tcPr>
          <w:p w14:paraId="45D4C6AD">
            <w:pPr>
              <w:widowControl/>
              <w:spacing w:line="36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 xml:space="preserve">    首次违法，建设单位编制建设项目初步设计未落实防治环境污染和生态破坏的措施以及环境保护设施投资概算，未将建设环境保护设施内容纳入施工合同，或者未依法开展环境影响后评价的，未造成环境污染或环境污染已主动消除，在责令改正期限内按要求完成整改的。</w:t>
            </w:r>
          </w:p>
        </w:tc>
        <w:tc>
          <w:tcPr>
            <w:tcW w:w="4717" w:type="dxa"/>
            <w:tcBorders>
              <w:top w:val="single" w:color="000000" w:sz="4" w:space="0"/>
              <w:left w:val="single" w:color="000000" w:sz="4" w:space="0"/>
              <w:bottom w:val="single" w:color="000000" w:sz="4" w:space="0"/>
              <w:right w:val="single" w:color="000000" w:sz="4" w:space="0"/>
            </w:tcBorders>
            <w:vAlign w:val="center"/>
          </w:tcPr>
          <w:p w14:paraId="0ED6BEE1">
            <w:pPr>
              <w:widowControl/>
              <w:spacing w:line="360" w:lineRule="exact"/>
              <w:jc w:val="lef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1.《建设项目环境保护管理条例》第十六条第一款、第二款；《建设项目环境保护管理条例》第二十二条第一款、第二款</w:t>
            </w:r>
          </w:p>
          <w:p w14:paraId="5F658405">
            <w:pPr>
              <w:widowControl/>
              <w:spacing w:line="360" w:lineRule="exact"/>
              <w:jc w:val="lef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2.《中华人民共和国环境影响评价法》第二十七条</w:t>
            </w:r>
          </w:p>
        </w:tc>
      </w:tr>
      <w:tr w14:paraId="6C91AF44">
        <w:tblPrEx>
          <w:tblCellMar>
            <w:top w:w="0" w:type="dxa"/>
            <w:left w:w="108" w:type="dxa"/>
            <w:bottom w:w="0" w:type="dxa"/>
            <w:right w:w="108" w:type="dxa"/>
          </w:tblCellMar>
        </w:tblPrEx>
        <w:trPr>
          <w:trHeight w:val="1658" w:hRule="atLeast"/>
          <w:jc w:val="center"/>
        </w:trPr>
        <w:tc>
          <w:tcPr>
            <w:tcW w:w="438" w:type="dxa"/>
            <w:tcBorders>
              <w:top w:val="single" w:color="000000" w:sz="4" w:space="0"/>
              <w:left w:val="single" w:color="000000" w:sz="4" w:space="0"/>
              <w:bottom w:val="single" w:color="000000" w:sz="4" w:space="0"/>
              <w:right w:val="single" w:color="000000" w:sz="4" w:space="0"/>
            </w:tcBorders>
            <w:vAlign w:val="center"/>
          </w:tcPr>
          <w:p w14:paraId="4B22DE9D">
            <w:pPr>
              <w:widowControl/>
              <w:spacing w:line="36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w:t>
            </w:r>
          </w:p>
        </w:tc>
        <w:tc>
          <w:tcPr>
            <w:tcW w:w="936" w:type="dxa"/>
            <w:vMerge w:val="continue"/>
            <w:tcBorders>
              <w:top w:val="single" w:color="000000" w:sz="4" w:space="0"/>
              <w:left w:val="single" w:color="000000" w:sz="4" w:space="0"/>
              <w:bottom w:val="single" w:color="auto" w:sz="4" w:space="0"/>
              <w:right w:val="single" w:color="000000" w:sz="4" w:space="0"/>
            </w:tcBorders>
            <w:vAlign w:val="center"/>
          </w:tcPr>
          <w:p w14:paraId="13C30C92">
            <w:pPr>
              <w:widowControl/>
              <w:spacing w:line="360" w:lineRule="exact"/>
              <w:jc w:val="center"/>
              <w:rPr>
                <w:rFonts w:hint="eastAsia" w:ascii="仿宋_GB2312" w:hAnsi="仿宋_GB2312" w:cs="仿宋_GB2312"/>
                <w:color w:val="000000"/>
                <w:sz w:val="21"/>
                <w:szCs w:val="21"/>
              </w:rPr>
            </w:pPr>
          </w:p>
        </w:tc>
        <w:tc>
          <w:tcPr>
            <w:tcW w:w="2665" w:type="dxa"/>
            <w:tcBorders>
              <w:top w:val="single" w:color="000000" w:sz="4" w:space="0"/>
              <w:left w:val="single" w:color="000000" w:sz="4" w:space="0"/>
              <w:bottom w:val="single" w:color="000000" w:sz="4" w:space="0"/>
              <w:right w:val="single" w:color="000000" w:sz="4" w:space="0"/>
            </w:tcBorders>
            <w:vAlign w:val="center"/>
          </w:tcPr>
          <w:p w14:paraId="3CC60738">
            <w:pPr>
              <w:widowControl/>
              <w:spacing w:line="36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对未按规定报备应急预案行为的行政处罚</w:t>
            </w:r>
          </w:p>
        </w:tc>
        <w:tc>
          <w:tcPr>
            <w:tcW w:w="5816" w:type="dxa"/>
            <w:tcBorders>
              <w:top w:val="single" w:color="000000" w:sz="4" w:space="0"/>
              <w:left w:val="single" w:color="000000" w:sz="4" w:space="0"/>
              <w:bottom w:val="single" w:color="000000" w:sz="4" w:space="0"/>
              <w:right w:val="single" w:color="000000" w:sz="4" w:space="0"/>
            </w:tcBorders>
            <w:vAlign w:val="center"/>
          </w:tcPr>
          <w:p w14:paraId="140FC271">
            <w:pPr>
              <w:widowControl/>
              <w:spacing w:line="36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 xml:space="preserve">    突发环境事件应急预案未按规定备案，2年内未发生突发环境事件，在执法人员现场检查发现违法行为次日起5个工作日内按要求完成整改的。</w:t>
            </w:r>
          </w:p>
        </w:tc>
        <w:tc>
          <w:tcPr>
            <w:tcW w:w="4717" w:type="dxa"/>
            <w:tcBorders>
              <w:top w:val="single" w:color="000000" w:sz="4" w:space="0"/>
              <w:left w:val="single" w:color="000000" w:sz="4" w:space="0"/>
              <w:bottom w:val="single" w:color="000000" w:sz="4" w:space="0"/>
              <w:right w:val="single" w:color="000000" w:sz="4" w:space="0"/>
            </w:tcBorders>
            <w:vAlign w:val="center"/>
          </w:tcPr>
          <w:p w14:paraId="3BA32D63">
            <w:pPr>
              <w:widowControl/>
              <w:spacing w:line="360" w:lineRule="exact"/>
              <w:jc w:val="lef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《突发环境事件应急管理办法》第十三条、</w:t>
            </w:r>
          </w:p>
          <w:p w14:paraId="7E10FB9D">
            <w:pPr>
              <w:widowControl/>
              <w:spacing w:line="360" w:lineRule="exact"/>
              <w:jc w:val="lef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《突发环境事件应急管理办法》第三十八条第一款第三项</w:t>
            </w:r>
          </w:p>
        </w:tc>
      </w:tr>
      <w:tr w14:paraId="300E22A9">
        <w:tblPrEx>
          <w:tblCellMar>
            <w:top w:w="0" w:type="dxa"/>
            <w:left w:w="108" w:type="dxa"/>
            <w:bottom w:w="0" w:type="dxa"/>
            <w:right w:w="108" w:type="dxa"/>
          </w:tblCellMar>
        </w:tblPrEx>
        <w:trPr>
          <w:trHeight w:val="920" w:hRule="atLeast"/>
          <w:jc w:val="center"/>
        </w:trPr>
        <w:tc>
          <w:tcPr>
            <w:tcW w:w="438" w:type="dxa"/>
            <w:tcBorders>
              <w:top w:val="single" w:color="000000" w:sz="4" w:space="0"/>
              <w:left w:val="single" w:color="000000" w:sz="4" w:space="0"/>
              <w:bottom w:val="single" w:color="000000" w:sz="4" w:space="0"/>
              <w:right w:val="single" w:color="auto" w:sz="4" w:space="0"/>
            </w:tcBorders>
            <w:vAlign w:val="center"/>
          </w:tcPr>
          <w:p w14:paraId="2BFDC003">
            <w:pPr>
              <w:widowControl/>
              <w:spacing w:line="36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6</w:t>
            </w:r>
          </w:p>
        </w:tc>
        <w:tc>
          <w:tcPr>
            <w:tcW w:w="936" w:type="dxa"/>
            <w:vMerge w:val="restart"/>
            <w:tcBorders>
              <w:top w:val="single" w:color="auto" w:sz="4" w:space="0"/>
              <w:left w:val="single" w:color="auto" w:sz="4" w:space="0"/>
              <w:bottom w:val="single" w:color="auto" w:sz="4" w:space="0"/>
              <w:right w:val="single" w:color="auto" w:sz="4" w:space="0"/>
            </w:tcBorders>
            <w:vAlign w:val="center"/>
          </w:tcPr>
          <w:p w14:paraId="40BBF3C1">
            <w:pPr>
              <w:widowControl/>
              <w:spacing w:line="360" w:lineRule="exact"/>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污染物</w:t>
            </w:r>
          </w:p>
          <w:p w14:paraId="05830397">
            <w:pPr>
              <w:widowControl/>
              <w:spacing w:line="360" w:lineRule="exact"/>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排放类</w:t>
            </w:r>
          </w:p>
          <w:p w14:paraId="0E2D6E7B">
            <w:pPr>
              <w:widowControl/>
              <w:spacing w:line="360" w:lineRule="exact"/>
              <w:jc w:val="center"/>
              <w:textAlignment w:val="center"/>
              <w:rPr>
                <w:rFonts w:hint="eastAsia" w:ascii="仿宋_GB2312" w:hAnsi="仿宋_GB2312" w:cs="仿宋_GB2312"/>
                <w:color w:val="000000"/>
                <w:sz w:val="21"/>
                <w:szCs w:val="21"/>
              </w:rPr>
            </w:pPr>
          </w:p>
        </w:tc>
        <w:tc>
          <w:tcPr>
            <w:tcW w:w="2665" w:type="dxa"/>
            <w:tcBorders>
              <w:top w:val="single" w:color="000000" w:sz="4" w:space="0"/>
              <w:left w:val="single" w:color="auto" w:sz="4" w:space="0"/>
              <w:bottom w:val="single" w:color="000000" w:sz="4" w:space="0"/>
              <w:right w:val="single" w:color="000000" w:sz="4" w:space="0"/>
            </w:tcBorders>
            <w:vAlign w:val="center"/>
          </w:tcPr>
          <w:p w14:paraId="7FF4281E">
            <w:pPr>
              <w:widowControl/>
              <w:spacing w:line="36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对超标排放污染物行为的行政处罚</w:t>
            </w:r>
          </w:p>
        </w:tc>
        <w:tc>
          <w:tcPr>
            <w:tcW w:w="5816" w:type="dxa"/>
            <w:tcBorders>
              <w:top w:val="single" w:color="000000" w:sz="4" w:space="0"/>
              <w:left w:val="single" w:color="000000" w:sz="4" w:space="0"/>
              <w:bottom w:val="single" w:color="000000" w:sz="4" w:space="0"/>
              <w:right w:val="single" w:color="000000" w:sz="4" w:space="0"/>
            </w:tcBorders>
            <w:vAlign w:val="center"/>
          </w:tcPr>
          <w:p w14:paraId="54B3F305">
            <w:pPr>
              <w:widowControl/>
              <w:spacing w:line="36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 xml:space="preserve">    首次违法，正常生产、经营情况下，除第一类污染物、有毒有害物质、放射性物质、重金属、持久性有机污染物之外，超标排放水污染物(色度除外）超标倍数在10%以内，5≤pH≤6或9≤pH≤10，3日内完成整改的；大气污染物（恶臭除外）超标倍数在10%以内，1日内完成整改的；噪声超过1分贝以内，当日完成整改的。</w:t>
            </w:r>
          </w:p>
        </w:tc>
        <w:tc>
          <w:tcPr>
            <w:tcW w:w="4717" w:type="dxa"/>
            <w:tcBorders>
              <w:top w:val="single" w:color="000000" w:sz="4" w:space="0"/>
              <w:left w:val="single" w:color="000000" w:sz="4" w:space="0"/>
              <w:bottom w:val="single" w:color="000000" w:sz="4" w:space="0"/>
              <w:right w:val="single" w:color="000000" w:sz="4" w:space="0"/>
            </w:tcBorders>
            <w:vAlign w:val="center"/>
          </w:tcPr>
          <w:p w14:paraId="167EE4DB">
            <w:pPr>
              <w:widowControl/>
              <w:spacing w:line="360" w:lineRule="exact"/>
              <w:jc w:val="lef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1.《中华人民共和国水污染防治法》第十条、《中华人民共和国水污染防治法》第八十三条第一款第二项</w:t>
            </w:r>
          </w:p>
          <w:p w14:paraId="1D1E5777">
            <w:pPr>
              <w:widowControl/>
              <w:spacing w:line="360" w:lineRule="exact"/>
              <w:jc w:val="lef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2.《中华人民共和国大气污染防治法》第十八条、《中华人民共和国大气污染防治法》第九十九条第一款第二项</w:t>
            </w:r>
          </w:p>
        </w:tc>
      </w:tr>
      <w:tr w14:paraId="64C28154">
        <w:tblPrEx>
          <w:tblCellMar>
            <w:top w:w="0" w:type="dxa"/>
            <w:left w:w="108" w:type="dxa"/>
            <w:bottom w:w="0" w:type="dxa"/>
            <w:right w:w="108" w:type="dxa"/>
          </w:tblCellMar>
        </w:tblPrEx>
        <w:trPr>
          <w:trHeight w:val="90" w:hRule="atLeast"/>
          <w:jc w:val="center"/>
        </w:trPr>
        <w:tc>
          <w:tcPr>
            <w:tcW w:w="438" w:type="dxa"/>
            <w:tcBorders>
              <w:top w:val="single" w:color="000000" w:sz="4" w:space="0"/>
              <w:left w:val="single" w:color="000000" w:sz="4" w:space="0"/>
              <w:bottom w:val="single" w:color="000000" w:sz="4" w:space="0"/>
              <w:right w:val="single" w:color="auto" w:sz="4" w:space="0"/>
            </w:tcBorders>
            <w:vAlign w:val="center"/>
          </w:tcPr>
          <w:p w14:paraId="29546A3D">
            <w:pPr>
              <w:widowControl/>
              <w:spacing w:line="36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7</w:t>
            </w:r>
          </w:p>
        </w:tc>
        <w:tc>
          <w:tcPr>
            <w:tcW w:w="936" w:type="dxa"/>
            <w:vMerge w:val="continue"/>
            <w:tcBorders>
              <w:top w:val="single" w:color="auto" w:sz="4" w:space="0"/>
              <w:left w:val="single" w:color="auto" w:sz="4" w:space="0"/>
              <w:bottom w:val="single" w:color="auto" w:sz="4" w:space="0"/>
              <w:right w:val="single" w:color="auto" w:sz="4" w:space="0"/>
            </w:tcBorders>
            <w:vAlign w:val="center"/>
          </w:tcPr>
          <w:p w14:paraId="267C6C85">
            <w:pPr>
              <w:widowControl/>
              <w:spacing w:line="360" w:lineRule="exact"/>
              <w:jc w:val="center"/>
              <w:rPr>
                <w:rFonts w:hint="eastAsia" w:ascii="仿宋_GB2312" w:hAnsi="仿宋_GB2312" w:cs="仿宋_GB2312"/>
                <w:color w:val="000000"/>
                <w:sz w:val="21"/>
                <w:szCs w:val="21"/>
              </w:rPr>
            </w:pPr>
          </w:p>
        </w:tc>
        <w:tc>
          <w:tcPr>
            <w:tcW w:w="2665" w:type="dxa"/>
            <w:tcBorders>
              <w:top w:val="single" w:color="000000" w:sz="4" w:space="0"/>
              <w:left w:val="single" w:color="auto" w:sz="4" w:space="0"/>
              <w:bottom w:val="single" w:color="000000" w:sz="4" w:space="0"/>
              <w:right w:val="single" w:color="000000" w:sz="4" w:space="0"/>
            </w:tcBorders>
            <w:vAlign w:val="center"/>
          </w:tcPr>
          <w:p w14:paraId="0E5BF34D">
            <w:pPr>
              <w:widowControl/>
              <w:spacing w:line="36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对污染防治设施运行不正常行为的行政处罚</w:t>
            </w:r>
          </w:p>
        </w:tc>
        <w:tc>
          <w:tcPr>
            <w:tcW w:w="5816" w:type="dxa"/>
            <w:tcBorders>
              <w:top w:val="single" w:color="000000" w:sz="4" w:space="0"/>
              <w:left w:val="single" w:color="000000" w:sz="4" w:space="0"/>
              <w:bottom w:val="single" w:color="000000" w:sz="4" w:space="0"/>
              <w:right w:val="single" w:color="000000" w:sz="4" w:space="0"/>
            </w:tcBorders>
            <w:vAlign w:val="center"/>
          </w:tcPr>
          <w:p w14:paraId="7891814C">
            <w:pPr>
              <w:widowControl/>
              <w:spacing w:line="360" w:lineRule="exact"/>
              <w:ind w:firstLine="420" w:firstLineChars="200"/>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首次违法，开停炉（机），设备检修、工艺设备运转异常等生产设施非正常工况或污染治理设施非正常工况</w:t>
            </w:r>
            <w:r>
              <w:rPr>
                <w:rFonts w:hint="eastAsia" w:ascii="仿宋_GB2312" w:hAnsi="仿宋_GB2312" w:cs="仿宋_GB2312"/>
                <w:b/>
                <w:bCs/>
                <w:color w:val="000000"/>
                <w:kern w:val="0"/>
                <w:sz w:val="21"/>
                <w:szCs w:val="21"/>
                <w:lang w:bidi="ar"/>
              </w:rPr>
              <w:t>，</w:t>
            </w:r>
            <w:r>
              <w:rPr>
                <w:rFonts w:hint="eastAsia" w:ascii="仿宋_GB2312" w:hAnsi="仿宋_GB2312" w:cs="仿宋_GB2312"/>
                <w:color w:val="000000"/>
                <w:kern w:val="0"/>
                <w:sz w:val="21"/>
                <w:szCs w:val="21"/>
                <w:lang w:bidi="ar"/>
              </w:rPr>
              <w:t>24小时内向属地生态环境部门备案，做好记录台账，并采取停、限产等措施减少污染物排放，未造成环境污染或环境污染已主动消除，在责令改正期限内及时按要求完成整改的。</w:t>
            </w:r>
          </w:p>
        </w:tc>
        <w:tc>
          <w:tcPr>
            <w:tcW w:w="4717" w:type="dxa"/>
            <w:tcBorders>
              <w:top w:val="single" w:color="000000" w:sz="4" w:space="0"/>
              <w:left w:val="single" w:color="000000" w:sz="4" w:space="0"/>
              <w:bottom w:val="single" w:color="000000" w:sz="4" w:space="0"/>
              <w:right w:val="single" w:color="000000" w:sz="4" w:space="0"/>
            </w:tcBorders>
            <w:vAlign w:val="center"/>
          </w:tcPr>
          <w:p w14:paraId="011A46E3">
            <w:pPr>
              <w:widowControl/>
              <w:spacing w:line="360" w:lineRule="exact"/>
              <w:jc w:val="lef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1.《中华人民共和国水污染防治法》第三十九条、《中华人民共和国水污染防治法》第八十三条第一款第三项</w:t>
            </w:r>
          </w:p>
          <w:p w14:paraId="681E12C2">
            <w:pPr>
              <w:widowControl/>
              <w:spacing w:line="360" w:lineRule="exact"/>
              <w:jc w:val="lef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2.《中华人民共和国大气污染防治法》第二十条第二款、《中华人民共和国大气污染防治法》第九十九条第一款第三项</w:t>
            </w:r>
          </w:p>
        </w:tc>
      </w:tr>
      <w:tr w14:paraId="079A869D">
        <w:tblPrEx>
          <w:tblCellMar>
            <w:top w:w="0" w:type="dxa"/>
            <w:left w:w="108" w:type="dxa"/>
            <w:bottom w:w="0" w:type="dxa"/>
            <w:right w:w="108" w:type="dxa"/>
          </w:tblCellMar>
        </w:tblPrEx>
        <w:trPr>
          <w:trHeight w:val="3090" w:hRule="atLeast"/>
          <w:jc w:val="center"/>
        </w:trPr>
        <w:tc>
          <w:tcPr>
            <w:tcW w:w="438" w:type="dxa"/>
            <w:tcBorders>
              <w:top w:val="single" w:color="000000" w:sz="4" w:space="0"/>
              <w:left w:val="single" w:color="000000" w:sz="4" w:space="0"/>
              <w:bottom w:val="single" w:color="000000" w:sz="4" w:space="0"/>
              <w:right w:val="single" w:color="auto" w:sz="4" w:space="0"/>
            </w:tcBorders>
            <w:vAlign w:val="center"/>
          </w:tcPr>
          <w:p w14:paraId="14E86B8E">
            <w:pPr>
              <w:widowControl/>
              <w:spacing w:line="36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w:t>
            </w:r>
          </w:p>
        </w:tc>
        <w:tc>
          <w:tcPr>
            <w:tcW w:w="936" w:type="dxa"/>
            <w:vMerge w:val="continue"/>
            <w:tcBorders>
              <w:top w:val="single" w:color="auto" w:sz="4" w:space="0"/>
              <w:left w:val="single" w:color="auto" w:sz="4" w:space="0"/>
              <w:bottom w:val="single" w:color="auto" w:sz="4" w:space="0"/>
              <w:right w:val="single" w:color="auto" w:sz="4" w:space="0"/>
            </w:tcBorders>
            <w:vAlign w:val="center"/>
          </w:tcPr>
          <w:p w14:paraId="3372D99D">
            <w:pPr>
              <w:widowControl/>
              <w:spacing w:line="360" w:lineRule="exact"/>
              <w:jc w:val="center"/>
              <w:rPr>
                <w:rFonts w:hint="eastAsia" w:ascii="仿宋_GB2312" w:hAnsi="仿宋_GB2312" w:cs="仿宋_GB2312"/>
                <w:color w:val="000000"/>
                <w:sz w:val="21"/>
                <w:szCs w:val="21"/>
              </w:rPr>
            </w:pPr>
          </w:p>
        </w:tc>
        <w:tc>
          <w:tcPr>
            <w:tcW w:w="2665" w:type="dxa"/>
            <w:tcBorders>
              <w:top w:val="single" w:color="000000" w:sz="4" w:space="0"/>
              <w:left w:val="single" w:color="auto" w:sz="4" w:space="0"/>
              <w:bottom w:val="single" w:color="000000" w:sz="4" w:space="0"/>
              <w:right w:val="single" w:color="000000" w:sz="4" w:space="0"/>
            </w:tcBorders>
            <w:vAlign w:val="center"/>
          </w:tcPr>
          <w:p w14:paraId="58132A42">
            <w:pPr>
              <w:widowControl/>
              <w:spacing w:line="36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对未按规定安装、使用自动监测设备或未与生态环境部门联网行为的行政处罚</w:t>
            </w:r>
          </w:p>
        </w:tc>
        <w:tc>
          <w:tcPr>
            <w:tcW w:w="5816" w:type="dxa"/>
            <w:tcBorders>
              <w:top w:val="single" w:color="000000" w:sz="4" w:space="0"/>
              <w:left w:val="single" w:color="000000" w:sz="4" w:space="0"/>
              <w:bottom w:val="single" w:color="000000" w:sz="4" w:space="0"/>
              <w:right w:val="single" w:color="000000" w:sz="4" w:space="0"/>
            </w:tcBorders>
            <w:vAlign w:val="center"/>
          </w:tcPr>
          <w:p w14:paraId="72491817">
            <w:pPr>
              <w:widowControl/>
              <w:spacing w:line="36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 xml:space="preserve">    首次违法，未按规定安装、使用自动监测设备或未与生态环境部门联网，且期间按要求开展自行监测，未造成环境污染或环境污染已主动消除，在执法人员检查发现违法行为次日起5个工作日内按要求完成整改的。</w:t>
            </w:r>
          </w:p>
        </w:tc>
        <w:tc>
          <w:tcPr>
            <w:tcW w:w="4717" w:type="dxa"/>
            <w:tcBorders>
              <w:top w:val="single" w:color="000000" w:sz="4" w:space="0"/>
              <w:left w:val="single" w:color="000000" w:sz="4" w:space="0"/>
              <w:bottom w:val="single" w:color="000000" w:sz="4" w:space="0"/>
              <w:right w:val="single" w:color="000000" w:sz="4" w:space="0"/>
            </w:tcBorders>
            <w:vAlign w:val="center"/>
          </w:tcPr>
          <w:p w14:paraId="792E1CB1">
            <w:pPr>
              <w:widowControl/>
              <w:spacing w:line="360" w:lineRule="exact"/>
              <w:jc w:val="lef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1.《中华人民共和国水污染防治法》第二十三条第一款、《中华人民共和国水污染防治法》第八十二条第一款第二项</w:t>
            </w:r>
          </w:p>
          <w:p w14:paraId="790FB9B1">
            <w:pPr>
              <w:widowControl/>
              <w:spacing w:line="360" w:lineRule="exact"/>
              <w:jc w:val="lef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2.《中华人民共和国大气污染防治法》第二十四条第一款、《中华人民共和国大气污染防治法》第一百条第一款第三项</w:t>
            </w:r>
          </w:p>
          <w:p w14:paraId="6B53C431">
            <w:pPr>
              <w:widowControl/>
              <w:spacing w:line="360" w:lineRule="exact"/>
              <w:jc w:val="lef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3.《排污许可管理条例》第二十条第一款、《排污许可管理条例》第三十六条第一款第四项</w:t>
            </w:r>
          </w:p>
        </w:tc>
      </w:tr>
      <w:tr w14:paraId="2EC0BC21">
        <w:tblPrEx>
          <w:tblCellMar>
            <w:top w:w="0" w:type="dxa"/>
            <w:left w:w="108" w:type="dxa"/>
            <w:bottom w:w="0" w:type="dxa"/>
            <w:right w:w="108" w:type="dxa"/>
          </w:tblCellMar>
        </w:tblPrEx>
        <w:trPr>
          <w:trHeight w:val="743" w:hRule="atLeast"/>
          <w:jc w:val="center"/>
        </w:trPr>
        <w:tc>
          <w:tcPr>
            <w:tcW w:w="438" w:type="dxa"/>
            <w:tcBorders>
              <w:top w:val="single" w:color="000000" w:sz="4" w:space="0"/>
              <w:left w:val="single" w:color="000000" w:sz="4" w:space="0"/>
              <w:bottom w:val="single" w:color="000000" w:sz="4" w:space="0"/>
              <w:right w:val="single" w:color="auto" w:sz="4" w:space="0"/>
            </w:tcBorders>
            <w:vAlign w:val="center"/>
          </w:tcPr>
          <w:p w14:paraId="4E2ADD6C">
            <w:pPr>
              <w:widowControl/>
              <w:spacing w:line="36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9</w:t>
            </w:r>
          </w:p>
        </w:tc>
        <w:tc>
          <w:tcPr>
            <w:tcW w:w="936" w:type="dxa"/>
            <w:vMerge w:val="continue"/>
            <w:tcBorders>
              <w:top w:val="single" w:color="auto" w:sz="4" w:space="0"/>
              <w:left w:val="single" w:color="auto" w:sz="4" w:space="0"/>
              <w:bottom w:val="single" w:color="auto" w:sz="4" w:space="0"/>
              <w:right w:val="single" w:color="auto" w:sz="4" w:space="0"/>
            </w:tcBorders>
            <w:vAlign w:val="center"/>
          </w:tcPr>
          <w:p w14:paraId="5D7D4E67">
            <w:pPr>
              <w:widowControl/>
              <w:spacing w:line="360" w:lineRule="exact"/>
              <w:jc w:val="center"/>
              <w:rPr>
                <w:rFonts w:hint="eastAsia" w:ascii="仿宋_GB2312" w:hAnsi="仿宋_GB2312" w:cs="仿宋_GB2312"/>
                <w:color w:val="000000"/>
                <w:sz w:val="21"/>
                <w:szCs w:val="21"/>
              </w:rPr>
            </w:pPr>
          </w:p>
        </w:tc>
        <w:tc>
          <w:tcPr>
            <w:tcW w:w="2665" w:type="dxa"/>
            <w:tcBorders>
              <w:top w:val="single" w:color="000000" w:sz="4" w:space="0"/>
              <w:left w:val="single" w:color="auto" w:sz="4" w:space="0"/>
              <w:bottom w:val="single" w:color="000000" w:sz="4" w:space="0"/>
              <w:right w:val="single" w:color="000000" w:sz="4" w:space="0"/>
            </w:tcBorders>
            <w:vAlign w:val="center"/>
          </w:tcPr>
          <w:p w14:paraId="2B359AEA">
            <w:pPr>
              <w:widowControl/>
              <w:spacing w:line="36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对未在密闭空间或者设备中进行产生含挥发性有机物废气的生产和服务活动行为的行政处罚</w:t>
            </w:r>
          </w:p>
        </w:tc>
        <w:tc>
          <w:tcPr>
            <w:tcW w:w="5816" w:type="dxa"/>
            <w:tcBorders>
              <w:top w:val="single" w:color="000000" w:sz="4" w:space="0"/>
              <w:left w:val="single" w:color="000000" w:sz="4" w:space="0"/>
              <w:bottom w:val="single" w:color="000000" w:sz="4" w:space="0"/>
              <w:right w:val="single" w:color="000000" w:sz="4" w:space="0"/>
            </w:tcBorders>
            <w:vAlign w:val="center"/>
          </w:tcPr>
          <w:p w14:paraId="4284C026">
            <w:pPr>
              <w:widowControl/>
              <w:spacing w:line="36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 xml:space="preserve">    首次违法，产生含挥发性有机物废气的生产和服务活动，已按要求安装污染防治设施，未在密闭空间或者设备中进行，未造成环境污染或环境污染已主动消除，执法人员现场检查发现违法行为时立即完成整改的。</w:t>
            </w:r>
          </w:p>
        </w:tc>
        <w:tc>
          <w:tcPr>
            <w:tcW w:w="4717" w:type="dxa"/>
            <w:tcBorders>
              <w:top w:val="single" w:color="000000" w:sz="4" w:space="0"/>
              <w:left w:val="single" w:color="000000" w:sz="4" w:space="0"/>
              <w:bottom w:val="single" w:color="000000" w:sz="4" w:space="0"/>
              <w:right w:val="single" w:color="000000" w:sz="4" w:space="0"/>
            </w:tcBorders>
            <w:vAlign w:val="center"/>
          </w:tcPr>
          <w:p w14:paraId="79CC5408">
            <w:pPr>
              <w:widowControl/>
              <w:spacing w:line="360" w:lineRule="exact"/>
              <w:jc w:val="lef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《中华人民共和国大气污染防治法》第四十五条、《中华人民共和国大气污染防治法》第一百零八条第一项</w:t>
            </w:r>
          </w:p>
        </w:tc>
      </w:tr>
      <w:tr w14:paraId="0A327A25">
        <w:tblPrEx>
          <w:tblCellMar>
            <w:top w:w="0" w:type="dxa"/>
            <w:left w:w="108" w:type="dxa"/>
            <w:bottom w:w="0" w:type="dxa"/>
            <w:right w:w="108" w:type="dxa"/>
          </w:tblCellMar>
        </w:tblPrEx>
        <w:trPr>
          <w:trHeight w:val="90" w:hRule="atLeast"/>
          <w:jc w:val="center"/>
        </w:trPr>
        <w:tc>
          <w:tcPr>
            <w:tcW w:w="438" w:type="dxa"/>
            <w:tcBorders>
              <w:top w:val="single" w:color="000000" w:sz="4" w:space="0"/>
              <w:left w:val="single" w:color="000000" w:sz="4" w:space="0"/>
              <w:bottom w:val="single" w:color="000000" w:sz="4" w:space="0"/>
              <w:right w:val="single" w:color="auto" w:sz="4" w:space="0"/>
            </w:tcBorders>
            <w:vAlign w:val="center"/>
          </w:tcPr>
          <w:p w14:paraId="32FE1654">
            <w:pPr>
              <w:widowControl/>
              <w:spacing w:line="36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10</w:t>
            </w:r>
          </w:p>
        </w:tc>
        <w:tc>
          <w:tcPr>
            <w:tcW w:w="936" w:type="dxa"/>
            <w:vMerge w:val="continue"/>
            <w:tcBorders>
              <w:top w:val="single" w:color="auto" w:sz="4" w:space="0"/>
              <w:left w:val="single" w:color="auto" w:sz="4" w:space="0"/>
              <w:bottom w:val="single" w:color="auto" w:sz="4" w:space="0"/>
              <w:right w:val="single" w:color="auto" w:sz="4" w:space="0"/>
            </w:tcBorders>
            <w:vAlign w:val="center"/>
          </w:tcPr>
          <w:p w14:paraId="58AB7446">
            <w:pPr>
              <w:widowControl/>
              <w:spacing w:line="360" w:lineRule="exact"/>
              <w:jc w:val="center"/>
              <w:textAlignment w:val="center"/>
              <w:rPr>
                <w:rFonts w:hint="eastAsia" w:ascii="仿宋_GB2312" w:hAnsi="仿宋_GB2312" w:cs="仿宋_GB2312"/>
                <w:color w:val="000000"/>
                <w:sz w:val="21"/>
                <w:szCs w:val="21"/>
              </w:rPr>
            </w:pPr>
          </w:p>
        </w:tc>
        <w:tc>
          <w:tcPr>
            <w:tcW w:w="2665" w:type="dxa"/>
            <w:tcBorders>
              <w:top w:val="single" w:color="000000" w:sz="4" w:space="0"/>
              <w:left w:val="single" w:color="auto" w:sz="4" w:space="0"/>
              <w:bottom w:val="single" w:color="000000" w:sz="4" w:space="0"/>
              <w:right w:val="single" w:color="000000" w:sz="4" w:space="0"/>
            </w:tcBorders>
            <w:vAlign w:val="center"/>
          </w:tcPr>
          <w:p w14:paraId="44988084">
            <w:pPr>
              <w:widowControl/>
              <w:spacing w:line="36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对不正常使用焊烟等相关烟气收集处理设施行为的行政处罚</w:t>
            </w:r>
          </w:p>
        </w:tc>
        <w:tc>
          <w:tcPr>
            <w:tcW w:w="5816" w:type="dxa"/>
            <w:tcBorders>
              <w:top w:val="single" w:color="000000" w:sz="4" w:space="0"/>
              <w:left w:val="single" w:color="000000" w:sz="4" w:space="0"/>
              <w:bottom w:val="single" w:color="000000" w:sz="4" w:space="0"/>
              <w:right w:val="single" w:color="000000" w:sz="4" w:space="0"/>
            </w:tcBorders>
            <w:vAlign w:val="center"/>
          </w:tcPr>
          <w:p w14:paraId="29870EB0">
            <w:pPr>
              <w:widowControl/>
              <w:spacing w:line="36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 xml:space="preserve">    首次违法，焊接作业已按要求安装污染防治设施，不正常使用焊烟等相关烟气收集处理设施的行为，未造成环境污染或环境污染已主动消除，在执法人员现场检查发现违法行为当日按要求完成整改的。</w:t>
            </w:r>
          </w:p>
        </w:tc>
        <w:tc>
          <w:tcPr>
            <w:tcW w:w="4717" w:type="dxa"/>
            <w:tcBorders>
              <w:top w:val="single" w:color="000000" w:sz="4" w:space="0"/>
              <w:left w:val="single" w:color="000000" w:sz="4" w:space="0"/>
              <w:bottom w:val="single" w:color="000000" w:sz="4" w:space="0"/>
              <w:right w:val="single" w:color="000000" w:sz="4" w:space="0"/>
            </w:tcBorders>
            <w:vAlign w:val="center"/>
          </w:tcPr>
          <w:p w14:paraId="3D4B3B66">
            <w:pPr>
              <w:widowControl/>
              <w:spacing w:line="360" w:lineRule="exact"/>
              <w:jc w:val="lef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《中华人民共和国大气污染防治法》第四十八条第一款、《中华人民共和国大气污染防治法》第一百零八条第五项</w:t>
            </w:r>
          </w:p>
        </w:tc>
      </w:tr>
      <w:tr w14:paraId="44E17110">
        <w:tblPrEx>
          <w:tblCellMar>
            <w:top w:w="0" w:type="dxa"/>
            <w:left w:w="108" w:type="dxa"/>
            <w:bottom w:w="0" w:type="dxa"/>
            <w:right w:w="108" w:type="dxa"/>
          </w:tblCellMar>
        </w:tblPrEx>
        <w:trPr>
          <w:trHeight w:val="145" w:hRule="atLeast"/>
          <w:jc w:val="center"/>
        </w:trPr>
        <w:tc>
          <w:tcPr>
            <w:tcW w:w="438" w:type="dxa"/>
            <w:tcBorders>
              <w:top w:val="single" w:color="000000" w:sz="4" w:space="0"/>
              <w:left w:val="single" w:color="000000" w:sz="4" w:space="0"/>
              <w:bottom w:val="single" w:color="000000" w:sz="4" w:space="0"/>
              <w:right w:val="single" w:color="auto" w:sz="4" w:space="0"/>
            </w:tcBorders>
            <w:vAlign w:val="center"/>
          </w:tcPr>
          <w:p w14:paraId="4D8498DC">
            <w:pPr>
              <w:widowControl/>
              <w:spacing w:line="36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11</w:t>
            </w:r>
          </w:p>
        </w:tc>
        <w:tc>
          <w:tcPr>
            <w:tcW w:w="936" w:type="dxa"/>
            <w:vMerge w:val="continue"/>
            <w:tcBorders>
              <w:top w:val="single" w:color="auto" w:sz="4" w:space="0"/>
              <w:left w:val="single" w:color="auto" w:sz="4" w:space="0"/>
              <w:bottom w:val="single" w:color="auto" w:sz="4" w:space="0"/>
              <w:right w:val="single" w:color="auto" w:sz="4" w:space="0"/>
            </w:tcBorders>
            <w:vAlign w:val="center"/>
          </w:tcPr>
          <w:p w14:paraId="72E90B55">
            <w:pPr>
              <w:widowControl/>
              <w:spacing w:line="360" w:lineRule="exact"/>
              <w:jc w:val="center"/>
              <w:rPr>
                <w:rFonts w:hint="eastAsia" w:ascii="仿宋_GB2312" w:hAnsi="仿宋_GB2312" w:cs="仿宋_GB2312"/>
                <w:color w:val="000000"/>
                <w:sz w:val="21"/>
                <w:szCs w:val="21"/>
              </w:rPr>
            </w:pPr>
          </w:p>
        </w:tc>
        <w:tc>
          <w:tcPr>
            <w:tcW w:w="2665" w:type="dxa"/>
            <w:tcBorders>
              <w:top w:val="single" w:color="000000" w:sz="4" w:space="0"/>
              <w:left w:val="single" w:color="auto" w:sz="4" w:space="0"/>
              <w:bottom w:val="single" w:color="000000" w:sz="4" w:space="0"/>
              <w:right w:val="single" w:color="000000" w:sz="4" w:space="0"/>
            </w:tcBorders>
            <w:vAlign w:val="center"/>
          </w:tcPr>
          <w:p w14:paraId="7164ACCB">
            <w:pPr>
              <w:widowControl/>
              <w:spacing w:line="36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对未按照规定开展自行监测等行为或未保存原始监测记录行为的行政处罚</w:t>
            </w:r>
          </w:p>
        </w:tc>
        <w:tc>
          <w:tcPr>
            <w:tcW w:w="5816" w:type="dxa"/>
            <w:tcBorders>
              <w:top w:val="single" w:color="000000" w:sz="4" w:space="0"/>
              <w:left w:val="single" w:color="000000" w:sz="4" w:space="0"/>
              <w:bottom w:val="single" w:color="000000" w:sz="4" w:space="0"/>
              <w:right w:val="single" w:color="000000" w:sz="4" w:space="0"/>
            </w:tcBorders>
            <w:vAlign w:val="center"/>
          </w:tcPr>
          <w:p w14:paraId="3E45DDC2">
            <w:pPr>
              <w:widowControl/>
              <w:spacing w:line="36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 xml:space="preserve">    首次违法，未按规定制定监测方案、未对所排放的污染物开展自行监测、未保存原始监测记录的，未造成环境污染或环境污染已主动消除，在执法人员现场检查发现违法行为次日起5个工作日内按要求完成整改的。</w:t>
            </w:r>
          </w:p>
        </w:tc>
        <w:tc>
          <w:tcPr>
            <w:tcW w:w="4717" w:type="dxa"/>
            <w:tcBorders>
              <w:top w:val="single" w:color="000000" w:sz="4" w:space="0"/>
              <w:left w:val="single" w:color="000000" w:sz="4" w:space="0"/>
              <w:bottom w:val="single" w:color="000000" w:sz="4" w:space="0"/>
              <w:right w:val="single" w:color="000000" w:sz="4" w:space="0"/>
            </w:tcBorders>
            <w:vAlign w:val="center"/>
          </w:tcPr>
          <w:p w14:paraId="1959389D">
            <w:pPr>
              <w:widowControl/>
              <w:spacing w:line="360" w:lineRule="exact"/>
              <w:jc w:val="left"/>
              <w:textAlignment w:val="center"/>
              <w:rPr>
                <w:rFonts w:hint="eastAsia" w:ascii="仿宋_GB2312" w:hAnsi="仿宋_GB2312" w:cs="仿宋_GB2312"/>
                <w:sz w:val="21"/>
                <w:szCs w:val="21"/>
              </w:rPr>
            </w:pPr>
            <w:r>
              <w:rPr>
                <w:rFonts w:hint="eastAsia" w:ascii="仿宋_GB2312" w:hAnsi="仿宋_GB2312" w:cs="仿宋_GB2312"/>
                <w:sz w:val="21"/>
                <w:szCs w:val="21"/>
              </w:rPr>
              <w:t>1.《中华人民共和国水污染防治法》第二十三条第一款、《中华人民共和国水污染防治法》第八十二条第一款第一项</w:t>
            </w:r>
          </w:p>
          <w:p w14:paraId="0EDDB069">
            <w:pPr>
              <w:widowControl/>
              <w:spacing w:line="360" w:lineRule="exact"/>
              <w:jc w:val="left"/>
              <w:textAlignment w:val="center"/>
              <w:rPr>
                <w:rFonts w:hint="eastAsia" w:ascii="仿宋_GB2312" w:hAnsi="仿宋_GB2312" w:cs="仿宋_GB2312"/>
                <w:sz w:val="21"/>
                <w:szCs w:val="21"/>
              </w:rPr>
            </w:pPr>
            <w:r>
              <w:rPr>
                <w:rFonts w:hint="eastAsia" w:ascii="仿宋_GB2312" w:hAnsi="仿宋_GB2312" w:cs="仿宋_GB2312"/>
                <w:sz w:val="21"/>
                <w:szCs w:val="21"/>
              </w:rPr>
              <w:t>2.《中华人民共和国大气污染防治法》第二十四条第一款、《中华人民共和国大气污染防治法》第一百条第一款第二项</w:t>
            </w:r>
          </w:p>
          <w:p w14:paraId="69C569A9">
            <w:pPr>
              <w:widowControl/>
              <w:spacing w:line="360" w:lineRule="exact"/>
              <w:jc w:val="left"/>
              <w:textAlignment w:val="center"/>
              <w:rPr>
                <w:rFonts w:hint="eastAsia" w:ascii="仿宋_GB2312" w:hAnsi="仿宋_GB2312" w:cs="仿宋_GB2312"/>
                <w:sz w:val="21"/>
                <w:szCs w:val="21"/>
              </w:rPr>
            </w:pPr>
            <w:r>
              <w:rPr>
                <w:rFonts w:hint="eastAsia" w:ascii="仿宋_GB2312" w:hAnsi="仿宋_GB2312" w:cs="仿宋_GB2312"/>
                <w:sz w:val="21"/>
                <w:szCs w:val="21"/>
              </w:rPr>
              <w:t>3.《排污许可管理条例》第十九条第一款；《排污许可管理条例》第三十六条第五项、第六项</w:t>
            </w:r>
          </w:p>
          <w:p w14:paraId="5573571A">
            <w:pPr>
              <w:pStyle w:val="2"/>
              <w:rPr>
                <w:rFonts w:hint="eastAsia" w:ascii="仿宋_GB2312" w:hAnsi="仿宋_GB2312" w:cs="仿宋_GB2312"/>
                <w:sz w:val="21"/>
                <w:szCs w:val="21"/>
              </w:rPr>
            </w:pPr>
          </w:p>
        </w:tc>
      </w:tr>
      <w:tr w14:paraId="3BC43833">
        <w:tblPrEx>
          <w:tblCellMar>
            <w:top w:w="0" w:type="dxa"/>
            <w:left w:w="108" w:type="dxa"/>
            <w:bottom w:w="0" w:type="dxa"/>
            <w:right w:w="108" w:type="dxa"/>
          </w:tblCellMar>
        </w:tblPrEx>
        <w:trPr>
          <w:trHeight w:val="1564" w:hRule="atLeast"/>
          <w:jc w:val="center"/>
        </w:trPr>
        <w:tc>
          <w:tcPr>
            <w:tcW w:w="438" w:type="dxa"/>
            <w:tcBorders>
              <w:top w:val="single" w:color="000000" w:sz="4" w:space="0"/>
              <w:left w:val="single" w:color="000000" w:sz="4" w:space="0"/>
              <w:bottom w:val="single" w:color="000000" w:sz="4" w:space="0"/>
              <w:right w:val="single" w:color="000000" w:sz="4" w:space="0"/>
            </w:tcBorders>
            <w:vAlign w:val="center"/>
          </w:tcPr>
          <w:p w14:paraId="17BB4CE1">
            <w:pPr>
              <w:widowControl/>
              <w:spacing w:line="360" w:lineRule="exact"/>
              <w:jc w:val="lef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12</w:t>
            </w:r>
          </w:p>
        </w:tc>
        <w:tc>
          <w:tcPr>
            <w:tcW w:w="936" w:type="dxa"/>
            <w:vMerge w:val="restart"/>
            <w:tcBorders>
              <w:top w:val="single" w:color="auto" w:sz="4" w:space="0"/>
              <w:left w:val="single" w:color="000000" w:sz="4" w:space="0"/>
              <w:bottom w:val="single" w:color="auto" w:sz="4" w:space="0"/>
              <w:right w:val="single" w:color="000000" w:sz="4" w:space="0"/>
            </w:tcBorders>
            <w:vAlign w:val="center"/>
          </w:tcPr>
          <w:p w14:paraId="078113F5">
            <w:pPr>
              <w:widowControl/>
              <w:spacing w:line="360" w:lineRule="exact"/>
              <w:jc w:val="lef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固体废物污染防治类</w:t>
            </w:r>
          </w:p>
        </w:tc>
        <w:tc>
          <w:tcPr>
            <w:tcW w:w="2665" w:type="dxa"/>
            <w:tcBorders>
              <w:top w:val="single" w:color="000000" w:sz="4" w:space="0"/>
              <w:left w:val="single" w:color="000000" w:sz="4" w:space="0"/>
              <w:bottom w:val="single" w:color="000000" w:sz="4" w:space="0"/>
              <w:right w:val="single" w:color="000000" w:sz="4" w:space="0"/>
            </w:tcBorders>
            <w:vAlign w:val="center"/>
          </w:tcPr>
          <w:p w14:paraId="7DE744AA">
            <w:pPr>
              <w:widowControl/>
              <w:spacing w:line="360" w:lineRule="exac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未按规定设置危险废物识别标志行为的行政处罚</w:t>
            </w:r>
          </w:p>
        </w:tc>
        <w:tc>
          <w:tcPr>
            <w:tcW w:w="5816" w:type="dxa"/>
            <w:tcBorders>
              <w:top w:val="single" w:color="000000" w:sz="4" w:space="0"/>
              <w:left w:val="single" w:color="000000" w:sz="4" w:space="0"/>
              <w:bottom w:val="single" w:color="000000" w:sz="4" w:space="0"/>
              <w:right w:val="single" w:color="000000" w:sz="4" w:space="0"/>
            </w:tcBorders>
            <w:vAlign w:val="center"/>
          </w:tcPr>
          <w:p w14:paraId="2C422379">
            <w:pPr>
              <w:widowControl/>
              <w:spacing w:line="360" w:lineRule="exac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 xml:space="preserve">    首次违法，未按照规定设置危险废物识别标志，未造成环境污染或环境污染已主动消除，在执法人员现场检查发现违法行为次日起3个工作日内按要求完成整改的。</w:t>
            </w:r>
          </w:p>
        </w:tc>
        <w:tc>
          <w:tcPr>
            <w:tcW w:w="4717" w:type="dxa"/>
            <w:tcBorders>
              <w:top w:val="single" w:color="000000" w:sz="4" w:space="0"/>
              <w:left w:val="single" w:color="000000" w:sz="4" w:space="0"/>
              <w:bottom w:val="single" w:color="000000" w:sz="4" w:space="0"/>
              <w:right w:val="single" w:color="000000" w:sz="4" w:space="0"/>
            </w:tcBorders>
            <w:vAlign w:val="center"/>
          </w:tcPr>
          <w:p w14:paraId="00579A39">
            <w:pPr>
              <w:widowControl/>
              <w:spacing w:line="360" w:lineRule="exact"/>
              <w:jc w:val="lef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《中华人民共和国固体废物污染环境防治法》第七十七条；《中华人民共和国固体废物污染环境防治法》第一百一十二条第一款第一项，第二款</w:t>
            </w:r>
          </w:p>
        </w:tc>
      </w:tr>
      <w:tr w14:paraId="16A61713">
        <w:tblPrEx>
          <w:tblCellMar>
            <w:top w:w="0" w:type="dxa"/>
            <w:left w:w="108" w:type="dxa"/>
            <w:bottom w:w="0" w:type="dxa"/>
            <w:right w:w="108" w:type="dxa"/>
          </w:tblCellMar>
        </w:tblPrEx>
        <w:trPr>
          <w:trHeight w:val="2675" w:hRule="atLeast"/>
          <w:jc w:val="center"/>
        </w:trPr>
        <w:tc>
          <w:tcPr>
            <w:tcW w:w="438" w:type="dxa"/>
            <w:tcBorders>
              <w:top w:val="single" w:color="000000" w:sz="4" w:space="0"/>
              <w:left w:val="single" w:color="000000" w:sz="4" w:space="0"/>
              <w:bottom w:val="single" w:color="000000" w:sz="4" w:space="0"/>
              <w:right w:val="single" w:color="000000" w:sz="4" w:space="0"/>
            </w:tcBorders>
            <w:vAlign w:val="center"/>
          </w:tcPr>
          <w:p w14:paraId="71ACDEE8">
            <w:pPr>
              <w:widowControl/>
              <w:spacing w:line="36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13</w:t>
            </w:r>
          </w:p>
        </w:tc>
        <w:tc>
          <w:tcPr>
            <w:tcW w:w="936" w:type="dxa"/>
            <w:vMerge w:val="continue"/>
            <w:tcBorders>
              <w:top w:val="single" w:color="auto" w:sz="4" w:space="0"/>
              <w:left w:val="single" w:color="000000" w:sz="4" w:space="0"/>
              <w:bottom w:val="single" w:color="auto" w:sz="4" w:space="0"/>
              <w:right w:val="single" w:color="000000" w:sz="4" w:space="0"/>
            </w:tcBorders>
            <w:vAlign w:val="center"/>
          </w:tcPr>
          <w:p w14:paraId="0FF06577">
            <w:pPr>
              <w:widowControl/>
              <w:spacing w:line="360" w:lineRule="exact"/>
              <w:jc w:val="center"/>
              <w:rPr>
                <w:rFonts w:hint="eastAsia" w:ascii="仿宋_GB2312" w:hAnsi="仿宋_GB2312" w:cs="仿宋_GB2312"/>
                <w:color w:val="000000"/>
                <w:sz w:val="21"/>
                <w:szCs w:val="21"/>
              </w:rPr>
            </w:pPr>
          </w:p>
        </w:tc>
        <w:tc>
          <w:tcPr>
            <w:tcW w:w="2665" w:type="dxa"/>
            <w:tcBorders>
              <w:top w:val="single" w:color="000000" w:sz="4" w:space="0"/>
              <w:left w:val="single" w:color="000000" w:sz="4" w:space="0"/>
              <w:bottom w:val="single" w:color="000000" w:sz="4" w:space="0"/>
              <w:right w:val="single" w:color="000000" w:sz="4" w:space="0"/>
            </w:tcBorders>
            <w:vAlign w:val="center"/>
          </w:tcPr>
          <w:p w14:paraId="14715163">
            <w:pPr>
              <w:widowControl/>
              <w:spacing w:line="36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对不规范贮存危险废物行为的行政处罚</w:t>
            </w:r>
          </w:p>
        </w:tc>
        <w:tc>
          <w:tcPr>
            <w:tcW w:w="5816" w:type="dxa"/>
            <w:tcBorders>
              <w:top w:val="single" w:color="000000" w:sz="4" w:space="0"/>
              <w:left w:val="single" w:color="000000" w:sz="4" w:space="0"/>
              <w:bottom w:val="single" w:color="000000" w:sz="4" w:space="0"/>
              <w:right w:val="single" w:color="000000" w:sz="4" w:space="0"/>
            </w:tcBorders>
            <w:vAlign w:val="center"/>
          </w:tcPr>
          <w:p w14:paraId="5A4BFD8F">
            <w:pPr>
              <w:widowControl/>
              <w:spacing w:line="36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 xml:space="preserve">    首次违法，危险废物管理台账记录不规范不全面、贮存不规范或将危险废物混入非危险废物中贮存，所涉及危险废物量不足0.1吨（除剧毒废弃危险化学品、医疗废物、实验室产生的危险废物及易燃易爆危险废物外），未造成环境污染或环境污染已主动消除，在执法人员现场检查发现违法行为次日起3个工作日内按要求完成整改的。</w:t>
            </w:r>
          </w:p>
        </w:tc>
        <w:tc>
          <w:tcPr>
            <w:tcW w:w="4717" w:type="dxa"/>
            <w:tcBorders>
              <w:top w:val="single" w:color="000000" w:sz="4" w:space="0"/>
              <w:left w:val="single" w:color="000000" w:sz="4" w:space="0"/>
              <w:bottom w:val="single" w:color="000000" w:sz="4" w:space="0"/>
              <w:right w:val="single" w:color="000000" w:sz="4" w:space="0"/>
            </w:tcBorders>
            <w:vAlign w:val="center"/>
          </w:tcPr>
          <w:p w14:paraId="304B3270">
            <w:pPr>
              <w:widowControl/>
              <w:spacing w:line="360" w:lineRule="exac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1.《中华人民共和国固体废物污染环境防治法》第七十八条第一款；《中华人民共和国固体废物污染环境防治法》第一百一十二条第一款第十三项，第二款</w:t>
            </w:r>
          </w:p>
          <w:p w14:paraId="4FDAC435">
            <w:pPr>
              <w:widowControl/>
              <w:spacing w:line="360" w:lineRule="exac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2.《中华人民共和国固体废物污染环境防治法》第八十一条第二款、《中华人民共和国固体废物污染环境防治法》第一百一十二条第一款第六项，第二款</w:t>
            </w:r>
          </w:p>
        </w:tc>
      </w:tr>
      <w:tr w14:paraId="4600F338">
        <w:tblPrEx>
          <w:tblCellMar>
            <w:top w:w="0" w:type="dxa"/>
            <w:left w:w="108" w:type="dxa"/>
            <w:bottom w:w="0" w:type="dxa"/>
            <w:right w:w="108" w:type="dxa"/>
          </w:tblCellMar>
        </w:tblPrEx>
        <w:trPr>
          <w:trHeight w:val="2951" w:hRule="atLeast"/>
          <w:jc w:val="center"/>
        </w:trPr>
        <w:tc>
          <w:tcPr>
            <w:tcW w:w="438" w:type="dxa"/>
            <w:tcBorders>
              <w:top w:val="single" w:color="000000" w:sz="4" w:space="0"/>
              <w:left w:val="single" w:color="000000" w:sz="4" w:space="0"/>
              <w:bottom w:val="single" w:color="000000" w:sz="4" w:space="0"/>
              <w:right w:val="single" w:color="000000" w:sz="4" w:space="0"/>
            </w:tcBorders>
            <w:vAlign w:val="center"/>
          </w:tcPr>
          <w:p w14:paraId="7CCFE401">
            <w:pPr>
              <w:widowControl/>
              <w:spacing w:line="36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14</w:t>
            </w:r>
          </w:p>
        </w:tc>
        <w:tc>
          <w:tcPr>
            <w:tcW w:w="936" w:type="dxa"/>
            <w:vMerge w:val="continue"/>
            <w:tcBorders>
              <w:top w:val="single" w:color="auto" w:sz="4" w:space="0"/>
              <w:left w:val="single" w:color="000000" w:sz="4" w:space="0"/>
              <w:bottom w:val="single" w:color="auto" w:sz="4" w:space="0"/>
              <w:right w:val="single" w:color="000000" w:sz="4" w:space="0"/>
            </w:tcBorders>
            <w:vAlign w:val="center"/>
          </w:tcPr>
          <w:p w14:paraId="4E6AEBBB">
            <w:pPr>
              <w:widowControl/>
              <w:spacing w:line="360" w:lineRule="exact"/>
              <w:jc w:val="center"/>
              <w:rPr>
                <w:rFonts w:hint="eastAsia" w:ascii="仿宋_GB2312" w:hAnsi="仿宋_GB2312" w:cs="仿宋_GB2312"/>
                <w:color w:val="000000"/>
                <w:sz w:val="21"/>
                <w:szCs w:val="21"/>
              </w:rPr>
            </w:pPr>
          </w:p>
        </w:tc>
        <w:tc>
          <w:tcPr>
            <w:tcW w:w="2665" w:type="dxa"/>
            <w:tcBorders>
              <w:top w:val="single" w:color="000000" w:sz="4" w:space="0"/>
              <w:left w:val="single" w:color="000000" w:sz="4" w:space="0"/>
              <w:bottom w:val="single" w:color="000000" w:sz="4" w:space="0"/>
              <w:right w:val="single" w:color="000000" w:sz="4" w:space="0"/>
            </w:tcBorders>
            <w:vAlign w:val="center"/>
          </w:tcPr>
          <w:p w14:paraId="76E23807">
            <w:pPr>
              <w:widowControl/>
              <w:spacing w:line="36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对未密闭易产生扬尘的物料或未采取有效措施防治扬尘污染行为的行政处罚</w:t>
            </w:r>
          </w:p>
        </w:tc>
        <w:tc>
          <w:tcPr>
            <w:tcW w:w="5816" w:type="dxa"/>
            <w:tcBorders>
              <w:top w:val="single" w:color="000000" w:sz="4" w:space="0"/>
              <w:left w:val="single" w:color="000000" w:sz="4" w:space="0"/>
              <w:bottom w:val="single" w:color="000000" w:sz="4" w:space="0"/>
              <w:right w:val="single" w:color="000000" w:sz="4" w:space="0"/>
            </w:tcBorders>
            <w:vAlign w:val="center"/>
          </w:tcPr>
          <w:p w14:paraId="5F8C4F3D">
            <w:pPr>
              <w:widowControl/>
              <w:spacing w:line="36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 xml:space="preserve">    首次违法，对煤炭、煤矸石、煤渣、煤灰、水泥、石灰、石膏、砂土等易产生扬尘的物料未密闭或对不能密闭易产生扬尘的物料未设置不低于堆放物高度的严密围挡，或者未采取有效覆盖、喷淋等措施防治扬尘污染，堆放面积在100平方米以下，在执法人员现场检查发现违法行为次日起3个工作日内按要求完成整改的。</w:t>
            </w:r>
          </w:p>
        </w:tc>
        <w:tc>
          <w:tcPr>
            <w:tcW w:w="4717" w:type="dxa"/>
            <w:tcBorders>
              <w:top w:val="single" w:color="000000" w:sz="4" w:space="0"/>
              <w:left w:val="single" w:color="000000" w:sz="4" w:space="0"/>
              <w:bottom w:val="single" w:color="000000" w:sz="4" w:space="0"/>
              <w:right w:val="single" w:color="000000" w:sz="4" w:space="0"/>
            </w:tcBorders>
            <w:vAlign w:val="center"/>
          </w:tcPr>
          <w:p w14:paraId="24C8CA2D">
            <w:pPr>
              <w:widowControl/>
              <w:spacing w:line="360" w:lineRule="exact"/>
              <w:jc w:val="lef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《中华人民共和国大气污染防治法》第七十二条第一款、第二款；《中华人民共和国大气污染防治法》第一百一十七条第一项、第二项</w:t>
            </w:r>
          </w:p>
        </w:tc>
      </w:tr>
      <w:tr w14:paraId="6887B17E">
        <w:tblPrEx>
          <w:tblCellMar>
            <w:top w:w="0" w:type="dxa"/>
            <w:left w:w="108" w:type="dxa"/>
            <w:bottom w:w="0" w:type="dxa"/>
            <w:right w:w="108" w:type="dxa"/>
          </w:tblCellMar>
        </w:tblPrEx>
        <w:trPr>
          <w:trHeight w:val="2166" w:hRule="atLeast"/>
          <w:jc w:val="center"/>
        </w:trPr>
        <w:tc>
          <w:tcPr>
            <w:tcW w:w="438" w:type="dxa"/>
            <w:tcBorders>
              <w:top w:val="single" w:color="000000" w:sz="4" w:space="0"/>
              <w:left w:val="single" w:color="000000" w:sz="4" w:space="0"/>
              <w:bottom w:val="single" w:color="000000" w:sz="4" w:space="0"/>
              <w:right w:val="single" w:color="000000" w:sz="4" w:space="0"/>
            </w:tcBorders>
            <w:vAlign w:val="center"/>
          </w:tcPr>
          <w:p w14:paraId="2D7F8123">
            <w:pPr>
              <w:widowControl/>
              <w:spacing w:line="36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15</w:t>
            </w:r>
          </w:p>
        </w:tc>
        <w:tc>
          <w:tcPr>
            <w:tcW w:w="936" w:type="dxa"/>
            <w:vMerge w:val="continue"/>
            <w:tcBorders>
              <w:top w:val="single" w:color="auto" w:sz="4" w:space="0"/>
              <w:left w:val="single" w:color="000000" w:sz="4" w:space="0"/>
              <w:bottom w:val="single" w:color="auto" w:sz="4" w:space="0"/>
              <w:right w:val="single" w:color="000000" w:sz="4" w:space="0"/>
            </w:tcBorders>
            <w:vAlign w:val="center"/>
          </w:tcPr>
          <w:p w14:paraId="0F89F4BC">
            <w:pPr>
              <w:widowControl/>
              <w:spacing w:line="360" w:lineRule="exact"/>
              <w:jc w:val="center"/>
              <w:rPr>
                <w:rFonts w:hint="eastAsia" w:ascii="仿宋_GB2312" w:hAnsi="仿宋_GB2312" w:cs="仿宋_GB2312"/>
                <w:color w:val="000000"/>
                <w:sz w:val="21"/>
                <w:szCs w:val="21"/>
              </w:rPr>
            </w:pPr>
          </w:p>
        </w:tc>
        <w:tc>
          <w:tcPr>
            <w:tcW w:w="2665" w:type="dxa"/>
            <w:tcBorders>
              <w:top w:val="single" w:color="000000" w:sz="4" w:space="0"/>
              <w:left w:val="single" w:color="000000" w:sz="4" w:space="0"/>
              <w:bottom w:val="single" w:color="000000" w:sz="4" w:space="0"/>
              <w:right w:val="single" w:color="000000" w:sz="4" w:space="0"/>
            </w:tcBorders>
            <w:vAlign w:val="center"/>
          </w:tcPr>
          <w:p w14:paraId="3A7E7BAE">
            <w:pPr>
              <w:widowControl/>
              <w:spacing w:line="36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对贮存工业固体废物不符合要求行为的行政处罚</w:t>
            </w:r>
          </w:p>
        </w:tc>
        <w:tc>
          <w:tcPr>
            <w:tcW w:w="5816" w:type="dxa"/>
            <w:tcBorders>
              <w:top w:val="single" w:color="000000" w:sz="4" w:space="0"/>
              <w:left w:val="single" w:color="000000" w:sz="4" w:space="0"/>
              <w:bottom w:val="single" w:color="000000" w:sz="4" w:space="0"/>
              <w:right w:val="single" w:color="000000" w:sz="4" w:space="0"/>
            </w:tcBorders>
            <w:vAlign w:val="center"/>
          </w:tcPr>
          <w:p w14:paraId="215BA292">
            <w:pPr>
              <w:widowControl/>
              <w:spacing w:line="360" w:lineRule="exact"/>
              <w:ind w:firstLine="420"/>
              <w:textAlignment w:val="center"/>
              <w:rPr>
                <w:rFonts w:hint="eastAsia" w:ascii="仿宋_GB2312" w:hAnsi="仿宋_GB2312" w:cs="仿宋_GB2312"/>
                <w:sz w:val="21"/>
                <w:szCs w:val="21"/>
              </w:rPr>
            </w:pPr>
            <w:r>
              <w:rPr>
                <w:rFonts w:hint="eastAsia" w:ascii="仿宋_GB2312" w:hAnsi="仿宋_GB2312" w:cs="仿宋_GB2312"/>
                <w:sz w:val="21"/>
                <w:szCs w:val="21"/>
              </w:rPr>
              <w:t>首次违法，贮存工业固体废物未采取符合国家环境保护要求的方式，现场检查时固体废物数量在100吨以内，未造成工业固体废物流失、渗漏，在责令改正期限内按要求完成整改的。</w:t>
            </w:r>
          </w:p>
          <w:p w14:paraId="53788524">
            <w:pPr>
              <w:pStyle w:val="2"/>
              <w:ind w:firstLine="420"/>
              <w:jc w:val="both"/>
              <w:rPr>
                <w:rFonts w:hint="eastAsia" w:ascii="仿宋_GB2312" w:hAnsi="仿宋_GB2312" w:cs="仿宋_GB2312"/>
                <w:sz w:val="21"/>
                <w:szCs w:val="21"/>
              </w:rPr>
            </w:pPr>
          </w:p>
        </w:tc>
        <w:tc>
          <w:tcPr>
            <w:tcW w:w="4717" w:type="dxa"/>
            <w:tcBorders>
              <w:top w:val="single" w:color="000000" w:sz="4" w:space="0"/>
              <w:left w:val="single" w:color="000000" w:sz="4" w:space="0"/>
              <w:bottom w:val="single" w:color="000000" w:sz="4" w:space="0"/>
              <w:right w:val="single" w:color="000000" w:sz="4" w:space="0"/>
            </w:tcBorders>
            <w:vAlign w:val="center"/>
          </w:tcPr>
          <w:p w14:paraId="5198A891">
            <w:pPr>
              <w:widowControl/>
              <w:spacing w:line="360" w:lineRule="exac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《中华人民共和国固体废物污染环境防治法》第四十条第一款；《中华人民共和国固体废物污染环境防治法》第一百零二条第十项、第二款</w:t>
            </w:r>
          </w:p>
        </w:tc>
      </w:tr>
      <w:tr w14:paraId="4587A272">
        <w:tblPrEx>
          <w:tblCellMar>
            <w:top w:w="0" w:type="dxa"/>
            <w:left w:w="108" w:type="dxa"/>
            <w:bottom w:w="0" w:type="dxa"/>
            <w:right w:w="108" w:type="dxa"/>
          </w:tblCellMar>
        </w:tblPrEx>
        <w:trPr>
          <w:trHeight w:val="1640" w:hRule="atLeast"/>
          <w:jc w:val="center"/>
        </w:trPr>
        <w:tc>
          <w:tcPr>
            <w:tcW w:w="438" w:type="dxa"/>
            <w:tcBorders>
              <w:top w:val="single" w:color="000000" w:sz="4" w:space="0"/>
              <w:left w:val="single" w:color="000000" w:sz="4" w:space="0"/>
              <w:bottom w:val="single" w:color="000000" w:sz="4" w:space="0"/>
              <w:right w:val="single" w:color="000000" w:sz="4" w:space="0"/>
            </w:tcBorders>
            <w:vAlign w:val="center"/>
          </w:tcPr>
          <w:p w14:paraId="38B1216A">
            <w:pPr>
              <w:widowControl/>
              <w:spacing w:line="36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16</w:t>
            </w:r>
          </w:p>
        </w:tc>
        <w:tc>
          <w:tcPr>
            <w:tcW w:w="936" w:type="dxa"/>
            <w:tcBorders>
              <w:top w:val="single" w:color="auto" w:sz="4" w:space="0"/>
              <w:left w:val="single" w:color="000000" w:sz="4" w:space="0"/>
              <w:bottom w:val="single" w:color="000000" w:sz="4" w:space="0"/>
              <w:right w:val="single" w:color="000000" w:sz="4" w:space="0"/>
            </w:tcBorders>
            <w:vAlign w:val="center"/>
          </w:tcPr>
          <w:p w14:paraId="7E5BB5E6">
            <w:pPr>
              <w:widowControl/>
              <w:spacing w:line="360" w:lineRule="exact"/>
              <w:jc w:val="center"/>
              <w:rPr>
                <w:rFonts w:hint="eastAsia" w:ascii="仿宋_GB2312" w:hAnsi="仿宋_GB2312" w:cs="仿宋_GB2312"/>
                <w:color w:val="000000"/>
                <w:sz w:val="21"/>
                <w:szCs w:val="21"/>
              </w:rPr>
            </w:pPr>
          </w:p>
        </w:tc>
        <w:tc>
          <w:tcPr>
            <w:tcW w:w="2665" w:type="dxa"/>
            <w:tcBorders>
              <w:top w:val="single" w:color="000000" w:sz="4" w:space="0"/>
              <w:left w:val="single" w:color="000000" w:sz="4" w:space="0"/>
              <w:bottom w:val="single" w:color="000000" w:sz="4" w:space="0"/>
              <w:right w:val="single" w:color="000000" w:sz="4" w:space="0"/>
            </w:tcBorders>
            <w:vAlign w:val="center"/>
          </w:tcPr>
          <w:p w14:paraId="1F5E22F5">
            <w:pPr>
              <w:widowControl/>
              <w:spacing w:line="36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对从事畜禽规模养殖未及时处置养殖过程中产生的畜禽粪污等固体废物行为的行政处罚</w:t>
            </w:r>
          </w:p>
        </w:tc>
        <w:tc>
          <w:tcPr>
            <w:tcW w:w="5816" w:type="dxa"/>
            <w:tcBorders>
              <w:top w:val="single" w:color="000000" w:sz="4" w:space="0"/>
              <w:left w:val="single" w:color="000000" w:sz="4" w:space="0"/>
              <w:bottom w:val="single" w:color="000000" w:sz="4" w:space="0"/>
              <w:right w:val="single" w:color="000000" w:sz="4" w:space="0"/>
            </w:tcBorders>
            <w:vAlign w:val="center"/>
          </w:tcPr>
          <w:p w14:paraId="796FC1C7">
            <w:pPr>
              <w:widowControl/>
              <w:spacing w:line="36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 xml:space="preserve">    首次违法，登记管理类畜禽养殖未按要求收集、贮存、利用或者处置养殖过程中产生的畜禽粪污，未造成畜禽养殖废弃物渗出、泄露，在执法人员现场检查发现违法行为次日起3个工作日内按要求完成整改的。</w:t>
            </w:r>
          </w:p>
        </w:tc>
        <w:tc>
          <w:tcPr>
            <w:tcW w:w="4717" w:type="dxa"/>
            <w:tcBorders>
              <w:top w:val="single" w:color="000000" w:sz="4" w:space="0"/>
              <w:left w:val="single" w:color="000000" w:sz="4" w:space="0"/>
              <w:bottom w:val="single" w:color="000000" w:sz="4" w:space="0"/>
              <w:right w:val="single" w:color="000000" w:sz="4" w:space="0"/>
            </w:tcBorders>
            <w:vAlign w:val="center"/>
          </w:tcPr>
          <w:p w14:paraId="4F69F903">
            <w:pPr>
              <w:widowControl/>
              <w:spacing w:line="360" w:lineRule="exact"/>
              <w:jc w:val="lef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1.《中华人民共和国固体废物污染环境防治法》第六十五条第二款、《中华人民共和国固体废物污染环境防治法》第一百零七条</w:t>
            </w:r>
          </w:p>
          <w:p w14:paraId="2F82BC89">
            <w:pPr>
              <w:widowControl/>
              <w:spacing w:line="360" w:lineRule="exact"/>
              <w:jc w:val="lef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2.《畜禽规模养殖污染防治条例》第十九条、第四十条第二项</w:t>
            </w:r>
          </w:p>
        </w:tc>
      </w:tr>
      <w:tr w14:paraId="09D139DE">
        <w:tblPrEx>
          <w:tblCellMar>
            <w:top w:w="0" w:type="dxa"/>
            <w:left w:w="108" w:type="dxa"/>
            <w:bottom w:w="0" w:type="dxa"/>
            <w:right w:w="108" w:type="dxa"/>
          </w:tblCellMar>
        </w:tblPrEx>
        <w:trPr>
          <w:trHeight w:val="940" w:hRule="atLeast"/>
          <w:jc w:val="center"/>
        </w:trPr>
        <w:tc>
          <w:tcPr>
            <w:tcW w:w="438" w:type="dxa"/>
            <w:tcBorders>
              <w:top w:val="single" w:color="000000" w:sz="4" w:space="0"/>
              <w:left w:val="single" w:color="000000" w:sz="4" w:space="0"/>
              <w:bottom w:val="single" w:color="000000" w:sz="4" w:space="0"/>
              <w:right w:val="single" w:color="000000" w:sz="4" w:space="0"/>
            </w:tcBorders>
            <w:vAlign w:val="center"/>
          </w:tcPr>
          <w:p w14:paraId="7F6FBE9C">
            <w:pPr>
              <w:widowControl/>
              <w:spacing w:line="36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17</w:t>
            </w:r>
          </w:p>
        </w:tc>
        <w:tc>
          <w:tcPr>
            <w:tcW w:w="936" w:type="dxa"/>
            <w:vMerge w:val="restart"/>
            <w:tcBorders>
              <w:top w:val="single" w:color="000000" w:sz="4" w:space="0"/>
              <w:left w:val="single" w:color="000000" w:sz="4" w:space="0"/>
              <w:bottom w:val="single" w:color="000000" w:sz="4" w:space="0"/>
              <w:right w:val="single" w:color="000000" w:sz="4" w:space="0"/>
            </w:tcBorders>
            <w:vAlign w:val="center"/>
          </w:tcPr>
          <w:p w14:paraId="7CF066A5">
            <w:pPr>
              <w:widowControl/>
              <w:spacing w:line="36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排污许可类</w:t>
            </w:r>
          </w:p>
        </w:tc>
        <w:tc>
          <w:tcPr>
            <w:tcW w:w="2665" w:type="dxa"/>
            <w:tcBorders>
              <w:top w:val="single" w:color="000000" w:sz="4" w:space="0"/>
              <w:left w:val="single" w:color="000000" w:sz="4" w:space="0"/>
              <w:bottom w:val="single" w:color="000000" w:sz="4" w:space="0"/>
              <w:right w:val="single" w:color="000000" w:sz="4" w:space="0"/>
            </w:tcBorders>
            <w:vAlign w:val="center"/>
          </w:tcPr>
          <w:p w14:paraId="2D9ED170">
            <w:pPr>
              <w:widowControl/>
              <w:spacing w:line="36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对依法应当重新申请取得排污许可证，未重新申请取得排污许可证排放污染物行为的行政处罚</w:t>
            </w:r>
          </w:p>
        </w:tc>
        <w:tc>
          <w:tcPr>
            <w:tcW w:w="5816" w:type="dxa"/>
            <w:tcBorders>
              <w:top w:val="single" w:color="000000" w:sz="4" w:space="0"/>
              <w:left w:val="single" w:color="000000" w:sz="4" w:space="0"/>
              <w:bottom w:val="single" w:color="000000" w:sz="4" w:space="0"/>
              <w:right w:val="single" w:color="000000" w:sz="4" w:space="0"/>
            </w:tcBorders>
            <w:vAlign w:val="center"/>
          </w:tcPr>
          <w:p w14:paraId="40D57527">
            <w:pPr>
              <w:widowControl/>
              <w:spacing w:line="360" w:lineRule="exact"/>
              <w:ind w:firstLine="420"/>
              <w:textAlignment w:val="center"/>
              <w:rPr>
                <w:rFonts w:hint="eastAsia" w:ascii="仿宋_GB2312" w:hAnsi="仿宋_GB2312" w:cs="仿宋_GB2312"/>
                <w:sz w:val="21"/>
                <w:szCs w:val="21"/>
              </w:rPr>
            </w:pPr>
            <w:r>
              <w:rPr>
                <w:rFonts w:hint="eastAsia" w:ascii="仿宋_GB2312" w:hAnsi="仿宋_GB2312" w:cs="仿宋_GB2312"/>
                <w:sz w:val="21"/>
                <w:szCs w:val="21"/>
              </w:rPr>
              <w:t>首次违法，依法应当重新申请取得排污许可证，未重新申请取得排污许可证排放污染物，违法行为持续时间3个月以内，建设项目已经通过审批、验收，污染物处理设施正常运行，未超标且未超总量排污，变更的排放方式或者排放去向明显有利于污染防治的，在执法人员现场检查发现违法行为次日起30日内按要求完成整改的。</w:t>
            </w:r>
          </w:p>
          <w:p w14:paraId="57FC2D3D">
            <w:pPr>
              <w:pStyle w:val="2"/>
              <w:ind w:firstLine="420"/>
              <w:jc w:val="both"/>
              <w:rPr>
                <w:rFonts w:hint="eastAsia" w:ascii="仿宋_GB2312" w:hAnsi="仿宋_GB2312" w:cs="仿宋_GB2312"/>
                <w:sz w:val="21"/>
                <w:szCs w:val="21"/>
              </w:rPr>
            </w:pPr>
          </w:p>
        </w:tc>
        <w:tc>
          <w:tcPr>
            <w:tcW w:w="4717" w:type="dxa"/>
            <w:tcBorders>
              <w:top w:val="single" w:color="000000" w:sz="4" w:space="0"/>
              <w:left w:val="single" w:color="000000" w:sz="4" w:space="0"/>
              <w:bottom w:val="single" w:color="000000" w:sz="4" w:space="0"/>
              <w:right w:val="single" w:color="000000" w:sz="4" w:space="0"/>
            </w:tcBorders>
            <w:vAlign w:val="center"/>
          </w:tcPr>
          <w:p w14:paraId="00604F5C">
            <w:pPr>
              <w:widowControl/>
              <w:spacing w:line="360" w:lineRule="exact"/>
              <w:jc w:val="lef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《排污许可管理条例》第十五条第一项、第二项；第三项、《排污许可管理条例》第三十三条第四项</w:t>
            </w:r>
          </w:p>
        </w:tc>
      </w:tr>
      <w:tr w14:paraId="558AB41E">
        <w:tblPrEx>
          <w:tblCellMar>
            <w:top w:w="0" w:type="dxa"/>
            <w:left w:w="108" w:type="dxa"/>
            <w:bottom w:w="0" w:type="dxa"/>
            <w:right w:w="108" w:type="dxa"/>
          </w:tblCellMar>
        </w:tblPrEx>
        <w:trPr>
          <w:trHeight w:val="1877" w:hRule="atLeast"/>
          <w:jc w:val="center"/>
        </w:trPr>
        <w:tc>
          <w:tcPr>
            <w:tcW w:w="438" w:type="dxa"/>
            <w:tcBorders>
              <w:top w:val="single" w:color="000000" w:sz="4" w:space="0"/>
              <w:left w:val="single" w:color="000000" w:sz="4" w:space="0"/>
              <w:bottom w:val="single" w:color="000000" w:sz="4" w:space="0"/>
              <w:right w:val="single" w:color="000000" w:sz="4" w:space="0"/>
            </w:tcBorders>
            <w:vAlign w:val="center"/>
          </w:tcPr>
          <w:p w14:paraId="3AA5AB07">
            <w:pPr>
              <w:widowControl/>
              <w:spacing w:line="36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18</w:t>
            </w:r>
          </w:p>
        </w:tc>
        <w:tc>
          <w:tcPr>
            <w:tcW w:w="936" w:type="dxa"/>
            <w:vMerge w:val="continue"/>
            <w:tcBorders>
              <w:top w:val="single" w:color="000000" w:sz="4" w:space="0"/>
              <w:left w:val="single" w:color="000000" w:sz="4" w:space="0"/>
              <w:bottom w:val="single" w:color="000000" w:sz="4" w:space="0"/>
              <w:right w:val="single" w:color="000000" w:sz="4" w:space="0"/>
            </w:tcBorders>
            <w:vAlign w:val="center"/>
          </w:tcPr>
          <w:p w14:paraId="009F084D">
            <w:pPr>
              <w:widowControl/>
              <w:spacing w:line="360" w:lineRule="exact"/>
              <w:jc w:val="center"/>
              <w:rPr>
                <w:rFonts w:hint="eastAsia" w:ascii="仿宋_GB2312" w:hAnsi="仿宋_GB2312" w:cs="仿宋_GB2312"/>
                <w:color w:val="000000"/>
                <w:sz w:val="21"/>
                <w:szCs w:val="21"/>
              </w:rPr>
            </w:pPr>
          </w:p>
        </w:tc>
        <w:tc>
          <w:tcPr>
            <w:tcW w:w="2665" w:type="dxa"/>
            <w:tcBorders>
              <w:top w:val="single" w:color="000000" w:sz="4" w:space="0"/>
              <w:left w:val="single" w:color="000000" w:sz="4" w:space="0"/>
              <w:bottom w:val="single" w:color="000000" w:sz="4" w:space="0"/>
              <w:right w:val="single" w:color="000000" w:sz="4" w:space="0"/>
            </w:tcBorders>
            <w:vAlign w:val="center"/>
          </w:tcPr>
          <w:p w14:paraId="700E1137">
            <w:pPr>
              <w:widowControl/>
              <w:spacing w:line="36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对未按照规定填报排污登记表行为的行政处罚</w:t>
            </w:r>
          </w:p>
        </w:tc>
        <w:tc>
          <w:tcPr>
            <w:tcW w:w="5816" w:type="dxa"/>
            <w:tcBorders>
              <w:top w:val="single" w:color="000000" w:sz="4" w:space="0"/>
              <w:left w:val="single" w:color="000000" w:sz="4" w:space="0"/>
              <w:bottom w:val="single" w:color="000000" w:sz="4" w:space="0"/>
              <w:right w:val="single" w:color="000000" w:sz="4" w:space="0"/>
            </w:tcBorders>
            <w:vAlign w:val="center"/>
          </w:tcPr>
          <w:p w14:paraId="66B7615E">
            <w:pPr>
              <w:widowControl/>
              <w:spacing w:line="360" w:lineRule="exact"/>
              <w:ind w:firstLine="420"/>
              <w:textAlignment w:val="center"/>
              <w:rPr>
                <w:rFonts w:hint="eastAsia" w:ascii="仿宋_GB2312" w:hAnsi="仿宋_GB2312" w:cs="仿宋_GB2312"/>
                <w:sz w:val="21"/>
                <w:szCs w:val="21"/>
              </w:rPr>
            </w:pPr>
            <w:r>
              <w:rPr>
                <w:rFonts w:hint="eastAsia" w:ascii="仿宋_GB2312" w:hAnsi="仿宋_GB2312" w:cs="仿宋_GB2312"/>
                <w:sz w:val="21"/>
                <w:szCs w:val="21"/>
              </w:rPr>
              <w:t>需要填报排污登记表的企业事业单位和其他生产经营者，未依照规定填报排污信息，在执法人员现场检查发现违法行为次日起3个工作日内按要求完成整改的。</w:t>
            </w:r>
          </w:p>
          <w:p w14:paraId="241F383B">
            <w:pPr>
              <w:pStyle w:val="2"/>
              <w:ind w:firstLine="420"/>
              <w:jc w:val="both"/>
              <w:rPr>
                <w:rFonts w:hint="eastAsia" w:ascii="仿宋_GB2312" w:hAnsi="仿宋_GB2312" w:cs="仿宋_GB2312"/>
                <w:sz w:val="21"/>
                <w:szCs w:val="21"/>
              </w:rPr>
            </w:pPr>
          </w:p>
        </w:tc>
        <w:tc>
          <w:tcPr>
            <w:tcW w:w="4717" w:type="dxa"/>
            <w:tcBorders>
              <w:top w:val="single" w:color="000000" w:sz="4" w:space="0"/>
              <w:left w:val="single" w:color="000000" w:sz="4" w:space="0"/>
              <w:bottom w:val="single" w:color="000000" w:sz="4" w:space="0"/>
              <w:right w:val="single" w:color="000000" w:sz="4" w:space="0"/>
            </w:tcBorders>
            <w:vAlign w:val="center"/>
          </w:tcPr>
          <w:p w14:paraId="5CBCE42F">
            <w:pPr>
              <w:widowControl/>
              <w:spacing w:line="360" w:lineRule="exact"/>
              <w:jc w:val="lef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《排污许可管理条例》第二十四条第一款、《排污许可管理条例》第四十三条</w:t>
            </w:r>
          </w:p>
        </w:tc>
      </w:tr>
      <w:tr w14:paraId="01020D16">
        <w:tblPrEx>
          <w:tblCellMar>
            <w:top w:w="0" w:type="dxa"/>
            <w:left w:w="108" w:type="dxa"/>
            <w:bottom w:w="0" w:type="dxa"/>
            <w:right w:w="108" w:type="dxa"/>
          </w:tblCellMar>
        </w:tblPrEx>
        <w:trPr>
          <w:trHeight w:val="2965" w:hRule="atLeast"/>
          <w:jc w:val="center"/>
        </w:trPr>
        <w:tc>
          <w:tcPr>
            <w:tcW w:w="438" w:type="dxa"/>
            <w:tcBorders>
              <w:top w:val="single" w:color="000000" w:sz="4" w:space="0"/>
              <w:left w:val="single" w:color="000000" w:sz="4" w:space="0"/>
              <w:bottom w:val="single" w:color="000000" w:sz="4" w:space="0"/>
              <w:right w:val="single" w:color="000000" w:sz="4" w:space="0"/>
            </w:tcBorders>
            <w:vAlign w:val="center"/>
          </w:tcPr>
          <w:p w14:paraId="452CC2F5">
            <w:pPr>
              <w:widowControl/>
              <w:spacing w:line="36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19</w:t>
            </w:r>
          </w:p>
        </w:tc>
        <w:tc>
          <w:tcPr>
            <w:tcW w:w="936" w:type="dxa"/>
            <w:vMerge w:val="continue"/>
            <w:tcBorders>
              <w:top w:val="single" w:color="000000" w:sz="4" w:space="0"/>
              <w:left w:val="single" w:color="000000" w:sz="4" w:space="0"/>
              <w:bottom w:val="single" w:color="000000" w:sz="4" w:space="0"/>
              <w:right w:val="single" w:color="000000" w:sz="4" w:space="0"/>
            </w:tcBorders>
            <w:vAlign w:val="center"/>
          </w:tcPr>
          <w:p w14:paraId="61400599">
            <w:pPr>
              <w:widowControl/>
              <w:spacing w:line="360" w:lineRule="exact"/>
              <w:jc w:val="center"/>
              <w:rPr>
                <w:rFonts w:hint="eastAsia" w:ascii="仿宋_GB2312" w:hAnsi="仿宋_GB2312" w:cs="仿宋_GB2312"/>
                <w:color w:val="000000"/>
                <w:sz w:val="21"/>
                <w:szCs w:val="21"/>
              </w:rPr>
            </w:pPr>
          </w:p>
        </w:tc>
        <w:tc>
          <w:tcPr>
            <w:tcW w:w="2665" w:type="dxa"/>
            <w:tcBorders>
              <w:top w:val="single" w:color="000000" w:sz="4" w:space="0"/>
              <w:left w:val="single" w:color="000000" w:sz="4" w:space="0"/>
              <w:bottom w:val="single" w:color="000000" w:sz="4" w:space="0"/>
              <w:right w:val="single" w:color="000000" w:sz="4" w:space="0"/>
            </w:tcBorders>
            <w:vAlign w:val="center"/>
          </w:tcPr>
          <w:p w14:paraId="70239B31">
            <w:pPr>
              <w:widowControl/>
              <w:spacing w:line="36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对未按照排污许可证规定的格式、内容和频次记录相关信息行为的行政处罚</w:t>
            </w:r>
          </w:p>
        </w:tc>
        <w:tc>
          <w:tcPr>
            <w:tcW w:w="5816" w:type="dxa"/>
            <w:tcBorders>
              <w:top w:val="single" w:color="000000" w:sz="4" w:space="0"/>
              <w:left w:val="single" w:color="000000" w:sz="4" w:space="0"/>
              <w:bottom w:val="single" w:color="000000" w:sz="4" w:space="0"/>
              <w:right w:val="single" w:color="000000" w:sz="4" w:space="0"/>
            </w:tcBorders>
            <w:vAlign w:val="center"/>
          </w:tcPr>
          <w:p w14:paraId="21059420">
            <w:pPr>
              <w:widowControl/>
              <w:spacing w:line="36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 xml:space="preserve">    首次违法，已建立环境管理台账记录制度，但未按照排污许可证规定的格式、内容和频次记录的或者未如实记录主要生产设施及污染防治设施运行情况或者未如实记录污染物排放浓度、排放量，未超标且未超总量排放污染物的，在执法人员现场检查发现违法行为次日起3个工作日内按要求完成整改的。</w:t>
            </w:r>
          </w:p>
        </w:tc>
        <w:tc>
          <w:tcPr>
            <w:tcW w:w="4717" w:type="dxa"/>
            <w:tcBorders>
              <w:top w:val="single" w:color="000000" w:sz="4" w:space="0"/>
              <w:left w:val="single" w:color="000000" w:sz="4" w:space="0"/>
              <w:bottom w:val="single" w:color="000000" w:sz="4" w:space="0"/>
              <w:right w:val="single" w:color="000000" w:sz="4" w:space="0"/>
            </w:tcBorders>
            <w:vAlign w:val="center"/>
          </w:tcPr>
          <w:p w14:paraId="6E1043B3">
            <w:pPr>
              <w:widowControl/>
              <w:spacing w:line="360" w:lineRule="exact"/>
              <w:jc w:val="lef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《排污许可管理条例》第二十一条第一款；《排污许可管理条例》第三十七条第一项、第二项</w:t>
            </w:r>
          </w:p>
        </w:tc>
      </w:tr>
      <w:tr w14:paraId="7EE370A0">
        <w:tblPrEx>
          <w:tblCellMar>
            <w:top w:w="0" w:type="dxa"/>
            <w:left w:w="108" w:type="dxa"/>
            <w:bottom w:w="0" w:type="dxa"/>
            <w:right w:w="108" w:type="dxa"/>
          </w:tblCellMar>
        </w:tblPrEx>
        <w:trPr>
          <w:trHeight w:val="90" w:hRule="atLeast"/>
          <w:jc w:val="center"/>
        </w:trPr>
        <w:tc>
          <w:tcPr>
            <w:tcW w:w="438" w:type="dxa"/>
            <w:tcBorders>
              <w:top w:val="single" w:color="000000" w:sz="4" w:space="0"/>
              <w:left w:val="single" w:color="000000" w:sz="4" w:space="0"/>
              <w:bottom w:val="single" w:color="000000" w:sz="4" w:space="0"/>
              <w:right w:val="single" w:color="000000" w:sz="4" w:space="0"/>
            </w:tcBorders>
            <w:vAlign w:val="center"/>
          </w:tcPr>
          <w:p w14:paraId="46BCBD90">
            <w:pPr>
              <w:widowControl/>
              <w:spacing w:line="36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20</w:t>
            </w:r>
          </w:p>
        </w:tc>
        <w:tc>
          <w:tcPr>
            <w:tcW w:w="936" w:type="dxa"/>
            <w:vMerge w:val="continue"/>
            <w:tcBorders>
              <w:top w:val="single" w:color="000000" w:sz="4" w:space="0"/>
              <w:left w:val="single" w:color="000000" w:sz="4" w:space="0"/>
              <w:bottom w:val="single" w:color="000000" w:sz="4" w:space="0"/>
              <w:right w:val="single" w:color="000000" w:sz="4" w:space="0"/>
            </w:tcBorders>
            <w:vAlign w:val="center"/>
          </w:tcPr>
          <w:p w14:paraId="51C11C79">
            <w:pPr>
              <w:widowControl/>
              <w:spacing w:line="360" w:lineRule="exact"/>
              <w:jc w:val="center"/>
              <w:rPr>
                <w:rFonts w:hint="eastAsia" w:ascii="仿宋_GB2312" w:hAnsi="仿宋_GB2312" w:cs="仿宋_GB2312"/>
                <w:color w:val="000000"/>
                <w:sz w:val="21"/>
                <w:szCs w:val="21"/>
              </w:rPr>
            </w:pPr>
          </w:p>
        </w:tc>
        <w:tc>
          <w:tcPr>
            <w:tcW w:w="2665" w:type="dxa"/>
            <w:tcBorders>
              <w:top w:val="single" w:color="000000" w:sz="4" w:space="0"/>
              <w:left w:val="single" w:color="000000" w:sz="4" w:space="0"/>
              <w:bottom w:val="single" w:color="000000" w:sz="4" w:space="0"/>
              <w:right w:val="single" w:color="000000" w:sz="4" w:space="0"/>
            </w:tcBorders>
            <w:vAlign w:val="center"/>
          </w:tcPr>
          <w:p w14:paraId="786E271E">
            <w:pPr>
              <w:widowControl/>
              <w:spacing w:line="36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对未按规定时间要求提交执行报告行为的行政处罚</w:t>
            </w:r>
          </w:p>
        </w:tc>
        <w:tc>
          <w:tcPr>
            <w:tcW w:w="5816" w:type="dxa"/>
            <w:tcBorders>
              <w:top w:val="single" w:color="000000" w:sz="4" w:space="0"/>
              <w:left w:val="single" w:color="000000" w:sz="4" w:space="0"/>
              <w:bottom w:val="single" w:color="000000" w:sz="4" w:space="0"/>
              <w:right w:val="single" w:color="000000" w:sz="4" w:space="0"/>
            </w:tcBorders>
            <w:vAlign w:val="center"/>
          </w:tcPr>
          <w:p w14:paraId="34DFAFF2">
            <w:pPr>
              <w:widowControl/>
              <w:spacing w:line="360" w:lineRule="exact"/>
              <w:ind w:firstLine="420" w:firstLineChars="200"/>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已核发排污许可证的排污单位未按规定时间要求提交执行报告，未造成环境污染或环境污染已主动消除，在执法人员现场检查发现违法行为次日起3个工作日内按要求完成整改的。</w:t>
            </w:r>
          </w:p>
        </w:tc>
        <w:tc>
          <w:tcPr>
            <w:tcW w:w="4717" w:type="dxa"/>
            <w:tcBorders>
              <w:top w:val="single" w:color="000000" w:sz="4" w:space="0"/>
              <w:left w:val="single" w:color="000000" w:sz="4" w:space="0"/>
              <w:bottom w:val="single" w:color="000000" w:sz="4" w:space="0"/>
              <w:right w:val="single" w:color="000000" w:sz="4" w:space="0"/>
            </w:tcBorders>
            <w:vAlign w:val="center"/>
          </w:tcPr>
          <w:p w14:paraId="046DAF1C">
            <w:pPr>
              <w:widowControl/>
              <w:spacing w:line="360" w:lineRule="exact"/>
              <w:jc w:val="lef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《排污许可管理条例》第二十二条第一款、《排污许可管理条例》第三十七条第三项</w:t>
            </w:r>
          </w:p>
        </w:tc>
      </w:tr>
      <w:tr w14:paraId="708F8780">
        <w:tblPrEx>
          <w:tblCellMar>
            <w:top w:w="0" w:type="dxa"/>
            <w:left w:w="108" w:type="dxa"/>
            <w:bottom w:w="0" w:type="dxa"/>
            <w:right w:w="108" w:type="dxa"/>
          </w:tblCellMar>
        </w:tblPrEx>
        <w:trPr>
          <w:trHeight w:val="2585" w:hRule="atLeast"/>
          <w:jc w:val="center"/>
        </w:trPr>
        <w:tc>
          <w:tcPr>
            <w:tcW w:w="438" w:type="dxa"/>
            <w:tcBorders>
              <w:top w:val="single" w:color="000000" w:sz="4" w:space="0"/>
              <w:left w:val="single" w:color="000000" w:sz="4" w:space="0"/>
              <w:bottom w:val="single" w:color="000000" w:sz="4" w:space="0"/>
              <w:right w:val="single" w:color="000000" w:sz="4" w:space="0"/>
            </w:tcBorders>
            <w:vAlign w:val="center"/>
          </w:tcPr>
          <w:p w14:paraId="7664B7D0">
            <w:pPr>
              <w:widowControl/>
              <w:spacing w:line="36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21</w:t>
            </w:r>
          </w:p>
        </w:tc>
        <w:tc>
          <w:tcPr>
            <w:tcW w:w="936" w:type="dxa"/>
            <w:vMerge w:val="restart"/>
            <w:tcBorders>
              <w:top w:val="single" w:color="000000" w:sz="4" w:space="0"/>
              <w:left w:val="single" w:color="000000" w:sz="4" w:space="0"/>
              <w:bottom w:val="single" w:color="000000" w:sz="4" w:space="0"/>
              <w:right w:val="single" w:color="000000" w:sz="4" w:space="0"/>
            </w:tcBorders>
            <w:vAlign w:val="center"/>
          </w:tcPr>
          <w:p w14:paraId="10EC92FD">
            <w:pPr>
              <w:widowControl/>
              <w:spacing w:line="36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信息公开类</w:t>
            </w:r>
          </w:p>
        </w:tc>
        <w:tc>
          <w:tcPr>
            <w:tcW w:w="2665" w:type="dxa"/>
            <w:tcBorders>
              <w:top w:val="single" w:color="000000" w:sz="4" w:space="0"/>
              <w:left w:val="single" w:color="000000" w:sz="4" w:space="0"/>
              <w:bottom w:val="single" w:color="000000" w:sz="4" w:space="0"/>
              <w:right w:val="single" w:color="000000" w:sz="4" w:space="0"/>
            </w:tcBorders>
            <w:vAlign w:val="center"/>
          </w:tcPr>
          <w:p w14:paraId="5ECFA117">
            <w:pPr>
              <w:widowControl/>
              <w:spacing w:line="36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对未按规定公开环境风险防范工作开展情况、突发环境事件应急预案及演练情况等环境信息行为的行政处罚</w:t>
            </w:r>
          </w:p>
        </w:tc>
        <w:tc>
          <w:tcPr>
            <w:tcW w:w="5816" w:type="dxa"/>
            <w:tcBorders>
              <w:top w:val="single" w:color="000000" w:sz="4" w:space="0"/>
              <w:left w:val="single" w:color="000000" w:sz="4" w:space="0"/>
              <w:bottom w:val="single" w:color="000000" w:sz="4" w:space="0"/>
              <w:right w:val="single" w:color="000000" w:sz="4" w:space="0"/>
            </w:tcBorders>
            <w:vAlign w:val="center"/>
          </w:tcPr>
          <w:p w14:paraId="5E63DD80">
            <w:pPr>
              <w:widowControl/>
              <w:spacing w:line="36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 xml:space="preserve">    首次违法，企事业单位未按规定公开本单位环境风险防范工作开展情况、突发环境事件应急预案及演练情况等环境信息，已编制突发环境事件应急预案，风险评估为一般等级，近三年未发生突发环境事件，在执法人员现场检查发现违法行为次日起3个工作日内按要求完成整改的。</w:t>
            </w:r>
          </w:p>
        </w:tc>
        <w:tc>
          <w:tcPr>
            <w:tcW w:w="4717" w:type="dxa"/>
            <w:tcBorders>
              <w:top w:val="single" w:color="000000" w:sz="4" w:space="0"/>
              <w:left w:val="single" w:color="000000" w:sz="4" w:space="0"/>
              <w:bottom w:val="single" w:color="000000" w:sz="4" w:space="0"/>
              <w:right w:val="single" w:color="000000" w:sz="4" w:space="0"/>
            </w:tcBorders>
            <w:vAlign w:val="center"/>
          </w:tcPr>
          <w:p w14:paraId="383551CA">
            <w:pPr>
              <w:widowControl/>
              <w:spacing w:line="360" w:lineRule="exact"/>
              <w:jc w:val="lef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《突发环境事件应急管理办法》第三十四条、第三十八条第六项</w:t>
            </w:r>
          </w:p>
        </w:tc>
      </w:tr>
      <w:tr w14:paraId="4DE89773">
        <w:tblPrEx>
          <w:tblCellMar>
            <w:top w:w="0" w:type="dxa"/>
            <w:left w:w="108" w:type="dxa"/>
            <w:bottom w:w="0" w:type="dxa"/>
            <w:right w:w="108" w:type="dxa"/>
          </w:tblCellMar>
        </w:tblPrEx>
        <w:trPr>
          <w:trHeight w:val="1952" w:hRule="atLeast"/>
          <w:jc w:val="center"/>
        </w:trPr>
        <w:tc>
          <w:tcPr>
            <w:tcW w:w="438" w:type="dxa"/>
            <w:tcBorders>
              <w:top w:val="single" w:color="000000" w:sz="4" w:space="0"/>
              <w:left w:val="single" w:color="000000" w:sz="4" w:space="0"/>
              <w:bottom w:val="single" w:color="000000" w:sz="4" w:space="0"/>
              <w:right w:val="single" w:color="000000" w:sz="4" w:space="0"/>
            </w:tcBorders>
            <w:vAlign w:val="center"/>
          </w:tcPr>
          <w:p w14:paraId="4D4E2087">
            <w:pPr>
              <w:widowControl/>
              <w:spacing w:line="36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22</w:t>
            </w:r>
          </w:p>
        </w:tc>
        <w:tc>
          <w:tcPr>
            <w:tcW w:w="936" w:type="dxa"/>
            <w:vMerge w:val="continue"/>
            <w:tcBorders>
              <w:top w:val="single" w:color="000000" w:sz="4" w:space="0"/>
              <w:left w:val="single" w:color="000000" w:sz="4" w:space="0"/>
              <w:bottom w:val="single" w:color="000000" w:sz="4" w:space="0"/>
              <w:right w:val="single" w:color="000000" w:sz="4" w:space="0"/>
            </w:tcBorders>
            <w:vAlign w:val="center"/>
          </w:tcPr>
          <w:p w14:paraId="4942AB97">
            <w:pPr>
              <w:widowControl/>
              <w:spacing w:line="360" w:lineRule="exact"/>
              <w:jc w:val="center"/>
              <w:rPr>
                <w:rFonts w:hint="eastAsia" w:ascii="仿宋_GB2312" w:hAnsi="仿宋_GB2312" w:cs="仿宋_GB2312"/>
                <w:color w:val="000000"/>
                <w:sz w:val="21"/>
                <w:szCs w:val="21"/>
              </w:rPr>
            </w:pPr>
          </w:p>
        </w:tc>
        <w:tc>
          <w:tcPr>
            <w:tcW w:w="2665" w:type="dxa"/>
            <w:tcBorders>
              <w:top w:val="single" w:color="000000" w:sz="4" w:space="0"/>
              <w:left w:val="single" w:color="000000" w:sz="4" w:space="0"/>
              <w:bottom w:val="single" w:color="000000" w:sz="4" w:space="0"/>
              <w:right w:val="single" w:color="000000" w:sz="4" w:space="0"/>
            </w:tcBorders>
            <w:vAlign w:val="center"/>
          </w:tcPr>
          <w:p w14:paraId="1DBDA3D0">
            <w:pPr>
              <w:widowControl/>
              <w:spacing w:line="36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对未依法向社会公开验收报告行为的行政处罚</w:t>
            </w:r>
          </w:p>
        </w:tc>
        <w:tc>
          <w:tcPr>
            <w:tcW w:w="5816" w:type="dxa"/>
            <w:tcBorders>
              <w:top w:val="single" w:color="000000" w:sz="4" w:space="0"/>
              <w:left w:val="single" w:color="000000" w:sz="4" w:space="0"/>
              <w:bottom w:val="single" w:color="000000" w:sz="4" w:space="0"/>
              <w:right w:val="single" w:color="000000" w:sz="4" w:space="0"/>
            </w:tcBorders>
            <w:vAlign w:val="center"/>
          </w:tcPr>
          <w:p w14:paraId="0F4221E1">
            <w:pPr>
              <w:widowControl/>
              <w:spacing w:line="36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 xml:space="preserve">    首次违法，建设项目环境保护设施验收工作已全部完成，未依法向社会公开验收报告，未造成环境污染或环境污染已主动消除，在执法人员现场检查发现违法行为次日起3个工作日内按要求完成整改的。</w:t>
            </w:r>
          </w:p>
        </w:tc>
        <w:tc>
          <w:tcPr>
            <w:tcW w:w="4717" w:type="dxa"/>
            <w:tcBorders>
              <w:top w:val="single" w:color="000000" w:sz="4" w:space="0"/>
              <w:left w:val="single" w:color="000000" w:sz="4" w:space="0"/>
              <w:bottom w:val="single" w:color="000000" w:sz="4" w:space="0"/>
              <w:right w:val="single" w:color="000000" w:sz="4" w:space="0"/>
            </w:tcBorders>
            <w:vAlign w:val="center"/>
          </w:tcPr>
          <w:p w14:paraId="771A7ADE">
            <w:pPr>
              <w:widowControl/>
              <w:spacing w:line="360" w:lineRule="exact"/>
              <w:jc w:val="lef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《建设项目环境保护管理条例》第十七条第三款、《建设项目环境保护管理条例》第二十三条第二款</w:t>
            </w:r>
          </w:p>
        </w:tc>
      </w:tr>
      <w:tr w14:paraId="6F4831F8">
        <w:tblPrEx>
          <w:tblCellMar>
            <w:top w:w="0" w:type="dxa"/>
            <w:left w:w="108" w:type="dxa"/>
            <w:bottom w:w="0" w:type="dxa"/>
            <w:right w:w="108" w:type="dxa"/>
          </w:tblCellMar>
        </w:tblPrEx>
        <w:trPr>
          <w:trHeight w:val="2598" w:hRule="atLeast"/>
          <w:jc w:val="center"/>
        </w:trPr>
        <w:tc>
          <w:tcPr>
            <w:tcW w:w="438" w:type="dxa"/>
            <w:tcBorders>
              <w:top w:val="single" w:color="000000" w:sz="4" w:space="0"/>
              <w:left w:val="single" w:color="000000" w:sz="4" w:space="0"/>
              <w:bottom w:val="single" w:color="000000" w:sz="4" w:space="0"/>
              <w:right w:val="single" w:color="000000" w:sz="4" w:space="0"/>
            </w:tcBorders>
            <w:vAlign w:val="center"/>
          </w:tcPr>
          <w:p w14:paraId="6F06F9E8">
            <w:pPr>
              <w:widowControl/>
              <w:spacing w:line="36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23</w:t>
            </w:r>
          </w:p>
        </w:tc>
        <w:tc>
          <w:tcPr>
            <w:tcW w:w="936" w:type="dxa"/>
            <w:tcBorders>
              <w:top w:val="single" w:color="000000" w:sz="4" w:space="0"/>
              <w:left w:val="single" w:color="000000" w:sz="4" w:space="0"/>
              <w:bottom w:val="single" w:color="000000" w:sz="4" w:space="0"/>
              <w:right w:val="single" w:color="000000" w:sz="4" w:space="0"/>
            </w:tcBorders>
            <w:vAlign w:val="center"/>
          </w:tcPr>
          <w:p w14:paraId="79AE1F08">
            <w:pPr>
              <w:widowControl/>
              <w:spacing w:line="36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放射性物质污染防治</w:t>
            </w:r>
          </w:p>
        </w:tc>
        <w:tc>
          <w:tcPr>
            <w:tcW w:w="2665" w:type="dxa"/>
            <w:tcBorders>
              <w:top w:val="single" w:color="000000" w:sz="4" w:space="0"/>
              <w:left w:val="single" w:color="000000" w:sz="4" w:space="0"/>
              <w:bottom w:val="single" w:color="000000" w:sz="4" w:space="0"/>
              <w:right w:val="single" w:color="000000" w:sz="4" w:space="0"/>
            </w:tcBorders>
            <w:vAlign w:val="center"/>
          </w:tcPr>
          <w:p w14:paraId="27E96986">
            <w:pPr>
              <w:widowControl/>
              <w:spacing w:line="36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对未按规定时间报送安全和防护状况年度评估报告行为的行政处罚</w:t>
            </w:r>
          </w:p>
        </w:tc>
        <w:tc>
          <w:tcPr>
            <w:tcW w:w="5816" w:type="dxa"/>
            <w:tcBorders>
              <w:top w:val="single" w:color="000000" w:sz="4" w:space="0"/>
              <w:left w:val="single" w:color="000000" w:sz="4" w:space="0"/>
              <w:bottom w:val="single" w:color="000000" w:sz="4" w:space="0"/>
              <w:right w:val="single" w:color="000000" w:sz="4" w:space="0"/>
            </w:tcBorders>
            <w:vAlign w:val="center"/>
          </w:tcPr>
          <w:p w14:paraId="4081F7A5">
            <w:pPr>
              <w:widowControl/>
              <w:spacing w:line="36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 xml:space="preserve">  </w:t>
            </w:r>
            <w:r>
              <w:rPr>
                <w:rFonts w:hint="eastAsia" w:ascii="仿宋_GB2312" w:hAnsi="仿宋_GB2312" w:cs="仿宋_GB2312"/>
                <w:color w:val="FF0000"/>
                <w:kern w:val="0"/>
                <w:sz w:val="21"/>
                <w:szCs w:val="21"/>
                <w:lang w:bidi="ar"/>
              </w:rPr>
              <w:t xml:space="preserve">  </w:t>
            </w:r>
            <w:r>
              <w:rPr>
                <w:rFonts w:hint="eastAsia" w:ascii="仿宋_GB2312" w:hAnsi="仿宋_GB2312" w:cs="仿宋_GB2312"/>
                <w:color w:val="000000"/>
                <w:kern w:val="0"/>
                <w:sz w:val="21"/>
                <w:szCs w:val="21"/>
                <w:lang w:bidi="ar"/>
              </w:rPr>
              <w:t>首次违法，生产、销售、使用放射性同位素与射线装置的单位未按规定时间报送安全和防护状况年度评估报告，未造成环境污染或环境污染已主动消除，在执法人员检查发现违法行为次日起3个工作日内按要求完成整改的。</w:t>
            </w:r>
          </w:p>
        </w:tc>
        <w:tc>
          <w:tcPr>
            <w:tcW w:w="4717" w:type="dxa"/>
            <w:tcBorders>
              <w:top w:val="single" w:color="000000" w:sz="4" w:space="0"/>
              <w:left w:val="single" w:color="000000" w:sz="4" w:space="0"/>
              <w:bottom w:val="single" w:color="000000" w:sz="4" w:space="0"/>
              <w:right w:val="single" w:color="000000" w:sz="4" w:space="0"/>
            </w:tcBorders>
            <w:vAlign w:val="center"/>
          </w:tcPr>
          <w:p w14:paraId="55065719">
            <w:pPr>
              <w:widowControl/>
              <w:spacing w:line="360" w:lineRule="exact"/>
              <w:jc w:val="lef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《放射性同位素与射线装置安全和防护管理办法》第十二条第一款、《放射性同位素与射线装置安全和防护管理办法》第五十五条第二项</w:t>
            </w:r>
          </w:p>
        </w:tc>
      </w:tr>
      <w:tr w14:paraId="649E1903">
        <w:tblPrEx>
          <w:tblCellMar>
            <w:top w:w="0" w:type="dxa"/>
            <w:left w:w="108" w:type="dxa"/>
            <w:bottom w:w="0" w:type="dxa"/>
            <w:right w:w="108" w:type="dxa"/>
          </w:tblCellMar>
        </w:tblPrEx>
        <w:trPr>
          <w:trHeight w:val="3011" w:hRule="atLeast"/>
          <w:jc w:val="center"/>
        </w:trPr>
        <w:tc>
          <w:tcPr>
            <w:tcW w:w="438" w:type="dxa"/>
            <w:tcBorders>
              <w:top w:val="single" w:color="000000" w:sz="4" w:space="0"/>
              <w:left w:val="single" w:color="000000" w:sz="4" w:space="0"/>
              <w:bottom w:val="single" w:color="000000" w:sz="4" w:space="0"/>
              <w:right w:val="single" w:color="000000" w:sz="4" w:space="0"/>
            </w:tcBorders>
            <w:vAlign w:val="center"/>
          </w:tcPr>
          <w:p w14:paraId="3FB1F9C5">
            <w:pPr>
              <w:widowControl/>
              <w:spacing w:line="360" w:lineRule="exact"/>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24</w:t>
            </w:r>
          </w:p>
        </w:tc>
        <w:tc>
          <w:tcPr>
            <w:tcW w:w="936" w:type="dxa"/>
            <w:tcBorders>
              <w:top w:val="single" w:color="000000" w:sz="4" w:space="0"/>
              <w:left w:val="single" w:color="000000" w:sz="4" w:space="0"/>
              <w:bottom w:val="single" w:color="000000" w:sz="4" w:space="0"/>
              <w:right w:val="single" w:color="000000" w:sz="4" w:space="0"/>
            </w:tcBorders>
            <w:vAlign w:val="center"/>
          </w:tcPr>
          <w:p w14:paraId="29C7CC04">
            <w:pPr>
              <w:widowControl/>
              <w:spacing w:line="360" w:lineRule="exact"/>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w:t>
            </w:r>
          </w:p>
        </w:tc>
        <w:tc>
          <w:tcPr>
            <w:tcW w:w="2665" w:type="dxa"/>
            <w:tcBorders>
              <w:top w:val="single" w:color="000000" w:sz="4" w:space="0"/>
              <w:left w:val="single" w:color="000000" w:sz="4" w:space="0"/>
              <w:bottom w:val="single" w:color="000000" w:sz="4" w:space="0"/>
              <w:right w:val="single" w:color="000000" w:sz="4" w:space="0"/>
            </w:tcBorders>
            <w:vAlign w:val="center"/>
          </w:tcPr>
          <w:p w14:paraId="70EA79EF">
            <w:pPr>
              <w:widowControl/>
              <w:spacing w:line="360" w:lineRule="exac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法律法规规章规定的其他情形</w:t>
            </w:r>
          </w:p>
        </w:tc>
        <w:tc>
          <w:tcPr>
            <w:tcW w:w="5816" w:type="dxa"/>
            <w:tcBorders>
              <w:top w:val="single" w:color="000000" w:sz="4" w:space="0"/>
              <w:left w:val="single" w:color="000000" w:sz="4" w:space="0"/>
              <w:bottom w:val="single" w:color="000000" w:sz="4" w:space="0"/>
              <w:right w:val="single" w:color="000000" w:sz="4" w:space="0"/>
            </w:tcBorders>
            <w:vAlign w:val="center"/>
          </w:tcPr>
          <w:p w14:paraId="6E54C6C6">
            <w:pPr>
              <w:widowControl/>
              <w:spacing w:line="360" w:lineRule="exact"/>
              <w:ind w:firstLine="420" w:firstLineChars="200"/>
              <w:textAlignment w:val="center"/>
              <w:rPr>
                <w:rFonts w:hint="eastAsia" w:ascii="仿宋_GB2312" w:hAnsi="仿宋_GB2312" w:cs="仿宋_GB2312"/>
                <w:sz w:val="21"/>
                <w:szCs w:val="21"/>
              </w:rPr>
            </w:pPr>
            <w:r>
              <w:rPr>
                <w:rFonts w:hint="eastAsia" w:ascii="仿宋_GB2312" w:hAnsi="仿宋_GB2312" w:cs="仿宋_GB2312"/>
                <w:sz w:val="21"/>
                <w:szCs w:val="21"/>
              </w:rPr>
              <w:t>1.违法行为轻微并及时改正，没有造成生态环境危害后果的，不予行政处罚。</w:t>
            </w:r>
          </w:p>
          <w:p w14:paraId="455A8AFF">
            <w:pPr>
              <w:widowControl/>
              <w:spacing w:line="360" w:lineRule="exact"/>
              <w:ind w:firstLine="420" w:firstLineChars="200"/>
              <w:textAlignment w:val="center"/>
              <w:rPr>
                <w:rFonts w:hint="eastAsia" w:ascii="仿宋_GB2312" w:hAnsi="仿宋_GB2312" w:cs="仿宋_GB2312"/>
                <w:sz w:val="21"/>
                <w:szCs w:val="21"/>
              </w:rPr>
            </w:pPr>
            <w:r>
              <w:rPr>
                <w:rFonts w:hint="eastAsia" w:ascii="仿宋_GB2312" w:hAnsi="仿宋_GB2312" w:cs="仿宋_GB2312"/>
                <w:sz w:val="21"/>
                <w:szCs w:val="21"/>
              </w:rPr>
              <w:t>2.初次违法且生态环境危害后果轻微并及时改正的，可以不予行政处罚。</w:t>
            </w:r>
          </w:p>
          <w:p w14:paraId="3D933639">
            <w:pPr>
              <w:widowControl/>
              <w:spacing w:line="360" w:lineRule="exact"/>
              <w:ind w:firstLine="420" w:firstLineChars="200"/>
              <w:textAlignment w:val="center"/>
              <w:rPr>
                <w:rFonts w:hint="eastAsia" w:ascii="仿宋_GB2312" w:hAnsi="仿宋_GB2312" w:cs="仿宋_GB2312"/>
                <w:sz w:val="21"/>
                <w:szCs w:val="21"/>
              </w:rPr>
            </w:pPr>
            <w:r>
              <w:rPr>
                <w:rFonts w:hint="eastAsia" w:ascii="仿宋_GB2312" w:hAnsi="仿宋_GB2312" w:cs="仿宋_GB2312"/>
                <w:sz w:val="21"/>
                <w:szCs w:val="21"/>
              </w:rPr>
              <w:t>3.当事人有证据足以证明没有主观过错的，不予行政处罚。</w:t>
            </w:r>
          </w:p>
          <w:p w14:paraId="5393FD86">
            <w:pPr>
              <w:widowControl/>
              <w:spacing w:line="360" w:lineRule="exact"/>
              <w:ind w:firstLine="420" w:firstLineChars="200"/>
              <w:textAlignment w:val="center"/>
              <w:rPr>
                <w:rFonts w:hint="eastAsia" w:ascii="仿宋_GB2312" w:hAnsi="仿宋_GB2312" w:cs="仿宋_GB2312"/>
                <w:sz w:val="21"/>
                <w:szCs w:val="21"/>
              </w:rPr>
            </w:pPr>
            <w:r>
              <w:rPr>
                <w:rFonts w:hint="eastAsia" w:ascii="仿宋_GB2312" w:hAnsi="仿宋_GB2312" w:cs="仿宋_GB2312"/>
                <w:sz w:val="21"/>
                <w:szCs w:val="21"/>
              </w:rPr>
              <w:t>4.法律、行政法规另有规定的，从其规定。</w:t>
            </w:r>
          </w:p>
        </w:tc>
        <w:tc>
          <w:tcPr>
            <w:tcW w:w="4717" w:type="dxa"/>
            <w:tcBorders>
              <w:top w:val="single" w:color="000000" w:sz="4" w:space="0"/>
              <w:left w:val="single" w:color="000000" w:sz="4" w:space="0"/>
              <w:bottom w:val="single" w:color="000000" w:sz="4" w:space="0"/>
              <w:right w:val="single" w:color="000000" w:sz="4" w:space="0"/>
            </w:tcBorders>
            <w:vAlign w:val="center"/>
          </w:tcPr>
          <w:p w14:paraId="6F71EF32">
            <w:pPr>
              <w:pStyle w:val="2"/>
              <w:jc w:val="both"/>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1.《中华人民共和国行政处罚法》第三十三条第一款、第二款</w:t>
            </w:r>
          </w:p>
          <w:p w14:paraId="00F23220">
            <w:pPr>
              <w:pStyle w:val="2"/>
              <w:jc w:val="both"/>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2.《生态环境行政处罚办法》 第四十二条第一款、第二款</w:t>
            </w:r>
          </w:p>
          <w:p w14:paraId="6679AAE6">
            <w:pPr>
              <w:pStyle w:val="2"/>
              <w:jc w:val="both"/>
              <w:rPr>
                <w:rFonts w:hint="eastAsia" w:ascii="仿宋_GB2312" w:hAnsi="仿宋_GB2312" w:cs="仿宋_GB2312"/>
                <w:sz w:val="21"/>
                <w:szCs w:val="21"/>
              </w:rPr>
            </w:pPr>
          </w:p>
        </w:tc>
      </w:tr>
      <w:tr w14:paraId="19AE66F3">
        <w:tblPrEx>
          <w:tblCellMar>
            <w:top w:w="0" w:type="dxa"/>
            <w:left w:w="108" w:type="dxa"/>
            <w:bottom w:w="0" w:type="dxa"/>
            <w:right w:w="108" w:type="dxa"/>
          </w:tblCellMar>
        </w:tblPrEx>
        <w:trPr>
          <w:trHeight w:val="660" w:hRule="atLeast"/>
          <w:jc w:val="center"/>
        </w:trPr>
        <w:tc>
          <w:tcPr>
            <w:tcW w:w="438" w:type="dxa"/>
            <w:tcBorders>
              <w:top w:val="single" w:color="auto" w:sz="4" w:space="0"/>
              <w:left w:val="single" w:color="auto" w:sz="4" w:space="0"/>
              <w:bottom w:val="single" w:color="auto" w:sz="4" w:space="0"/>
              <w:right w:val="single" w:color="auto" w:sz="4" w:space="0"/>
            </w:tcBorders>
            <w:vAlign w:val="center"/>
          </w:tcPr>
          <w:p w14:paraId="20327D21">
            <w:pPr>
              <w:widowControl/>
              <w:spacing w:line="340" w:lineRule="exact"/>
              <w:textAlignment w:val="center"/>
              <w:rPr>
                <w:rFonts w:hint="eastAsia" w:ascii="黑体" w:hAnsi="宋体" w:eastAsia="黑体" w:cs="黑体"/>
                <w:color w:val="000000"/>
                <w:sz w:val="28"/>
                <w:szCs w:val="28"/>
                <w:lang w:bidi="ar"/>
              </w:rPr>
            </w:pPr>
            <w:bookmarkStart w:id="0" w:name="印发日期"/>
            <w:bookmarkEnd w:id="0"/>
            <w:r>
              <w:rPr>
                <w:rFonts w:hint="eastAsia" w:ascii="黑体" w:hAnsi="宋体" w:eastAsia="黑体" w:cs="黑体"/>
                <w:color w:val="000000"/>
                <w:sz w:val="28"/>
                <w:szCs w:val="28"/>
                <w:lang w:bidi="ar"/>
              </w:rPr>
              <w:t>序号</w:t>
            </w:r>
          </w:p>
        </w:tc>
        <w:tc>
          <w:tcPr>
            <w:tcW w:w="3601" w:type="dxa"/>
            <w:gridSpan w:val="2"/>
            <w:tcBorders>
              <w:top w:val="single" w:color="auto" w:sz="4" w:space="0"/>
              <w:left w:val="single" w:color="auto" w:sz="4" w:space="0"/>
              <w:bottom w:val="single" w:color="auto" w:sz="4" w:space="0"/>
              <w:right w:val="single" w:color="auto" w:sz="4" w:space="0"/>
            </w:tcBorders>
            <w:vAlign w:val="center"/>
          </w:tcPr>
          <w:p w14:paraId="4BF72A30">
            <w:pPr>
              <w:widowControl/>
              <w:spacing w:line="360" w:lineRule="exact"/>
              <w:jc w:val="center"/>
              <w:textAlignment w:val="center"/>
              <w:rPr>
                <w:rFonts w:hint="eastAsia" w:ascii="黑体" w:hAnsi="宋体" w:eastAsia="黑体" w:cs="黑体"/>
                <w:color w:val="000000"/>
                <w:sz w:val="28"/>
                <w:szCs w:val="28"/>
                <w:lang w:bidi="ar"/>
              </w:rPr>
            </w:pPr>
            <w:r>
              <w:rPr>
                <w:rFonts w:hint="eastAsia" w:ascii="黑体" w:hAnsi="宋体" w:eastAsia="黑体" w:cs="黑体"/>
                <w:color w:val="000000"/>
                <w:sz w:val="28"/>
                <w:szCs w:val="28"/>
                <w:lang w:bidi="ar"/>
              </w:rPr>
              <w:t>不予强制事项名称</w:t>
            </w:r>
          </w:p>
        </w:tc>
        <w:tc>
          <w:tcPr>
            <w:tcW w:w="5816" w:type="dxa"/>
            <w:tcBorders>
              <w:top w:val="single" w:color="auto" w:sz="4" w:space="0"/>
              <w:left w:val="single" w:color="auto" w:sz="4" w:space="0"/>
              <w:bottom w:val="single" w:color="auto" w:sz="4" w:space="0"/>
              <w:right w:val="single" w:color="auto" w:sz="4" w:space="0"/>
            </w:tcBorders>
            <w:vAlign w:val="center"/>
          </w:tcPr>
          <w:p w14:paraId="641A4D0D">
            <w:pPr>
              <w:widowControl/>
              <w:spacing w:line="360" w:lineRule="exact"/>
              <w:ind w:firstLine="1960" w:firstLineChars="700"/>
              <w:textAlignment w:val="center"/>
              <w:rPr>
                <w:rFonts w:hint="eastAsia" w:ascii="黑体" w:hAnsi="宋体" w:eastAsia="黑体" w:cs="黑体"/>
                <w:color w:val="000000"/>
                <w:sz w:val="28"/>
                <w:szCs w:val="28"/>
                <w:lang w:bidi="ar"/>
              </w:rPr>
            </w:pPr>
            <w:r>
              <w:rPr>
                <w:rFonts w:hint="eastAsia" w:ascii="黑体" w:hAnsi="宋体" w:eastAsia="黑体" w:cs="黑体"/>
                <w:color w:val="000000"/>
                <w:sz w:val="28"/>
                <w:szCs w:val="28"/>
                <w:lang w:bidi="ar"/>
              </w:rPr>
              <w:t>不予强制情形</w:t>
            </w:r>
          </w:p>
        </w:tc>
        <w:tc>
          <w:tcPr>
            <w:tcW w:w="4717" w:type="dxa"/>
            <w:tcBorders>
              <w:top w:val="single" w:color="auto" w:sz="4" w:space="0"/>
              <w:left w:val="single" w:color="auto" w:sz="4" w:space="0"/>
              <w:bottom w:val="single" w:color="auto" w:sz="4" w:space="0"/>
              <w:right w:val="single" w:color="auto" w:sz="4" w:space="0"/>
            </w:tcBorders>
            <w:vAlign w:val="center"/>
          </w:tcPr>
          <w:p w14:paraId="600ACEDA">
            <w:pPr>
              <w:widowControl/>
              <w:tabs>
                <w:tab w:val="left" w:pos="0"/>
              </w:tabs>
              <w:spacing w:line="360" w:lineRule="exact"/>
              <w:jc w:val="center"/>
              <w:textAlignment w:val="center"/>
              <w:rPr>
                <w:rFonts w:hint="eastAsia" w:ascii="黑体" w:hAnsi="宋体" w:eastAsia="黑体" w:cs="黑体"/>
                <w:color w:val="000000"/>
                <w:sz w:val="28"/>
                <w:szCs w:val="28"/>
                <w:lang w:bidi="ar"/>
              </w:rPr>
            </w:pPr>
            <w:r>
              <w:rPr>
                <w:rFonts w:hint="eastAsia" w:ascii="黑体" w:hAnsi="宋体" w:eastAsia="黑体" w:cs="黑体"/>
                <w:color w:val="000000"/>
                <w:sz w:val="28"/>
                <w:szCs w:val="28"/>
                <w:lang w:bidi="ar"/>
              </w:rPr>
              <w:t>违法行为法律依据</w:t>
            </w:r>
          </w:p>
        </w:tc>
      </w:tr>
      <w:tr w14:paraId="4F426676">
        <w:tblPrEx>
          <w:tblCellMar>
            <w:top w:w="0" w:type="dxa"/>
            <w:left w:w="108" w:type="dxa"/>
            <w:bottom w:w="0" w:type="dxa"/>
            <w:right w:w="108" w:type="dxa"/>
          </w:tblCellMar>
        </w:tblPrEx>
        <w:trPr>
          <w:trHeight w:val="956" w:hRule="atLeast"/>
          <w:jc w:val="center"/>
        </w:trPr>
        <w:tc>
          <w:tcPr>
            <w:tcW w:w="438" w:type="dxa"/>
            <w:tcBorders>
              <w:top w:val="single" w:color="auto" w:sz="4" w:space="0"/>
              <w:left w:val="single" w:color="000000" w:sz="4" w:space="0"/>
              <w:bottom w:val="single" w:color="000000" w:sz="4" w:space="0"/>
              <w:right w:val="single" w:color="000000" w:sz="4" w:space="0"/>
            </w:tcBorders>
            <w:vAlign w:val="center"/>
          </w:tcPr>
          <w:p w14:paraId="52B04561">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w:t>
            </w:r>
          </w:p>
        </w:tc>
        <w:tc>
          <w:tcPr>
            <w:tcW w:w="3601" w:type="dxa"/>
            <w:gridSpan w:val="2"/>
            <w:tcBorders>
              <w:top w:val="single" w:color="auto" w:sz="4" w:space="0"/>
              <w:left w:val="single" w:color="000000" w:sz="4" w:space="0"/>
              <w:bottom w:val="single" w:color="000000" w:sz="4" w:space="0"/>
              <w:right w:val="single" w:color="000000" w:sz="4" w:space="0"/>
            </w:tcBorders>
            <w:vAlign w:val="center"/>
          </w:tcPr>
          <w:p w14:paraId="4F62708E">
            <w:pPr>
              <w:widowControl/>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对公共设施的强制措施</w:t>
            </w:r>
          </w:p>
        </w:tc>
        <w:tc>
          <w:tcPr>
            <w:tcW w:w="5816" w:type="dxa"/>
            <w:tcBorders>
              <w:top w:val="single" w:color="auto" w:sz="4" w:space="0"/>
              <w:left w:val="single" w:color="000000" w:sz="4" w:space="0"/>
              <w:bottom w:val="single" w:color="000000" w:sz="4" w:space="0"/>
              <w:right w:val="single" w:color="000000" w:sz="4" w:space="0"/>
            </w:tcBorders>
            <w:vAlign w:val="center"/>
          </w:tcPr>
          <w:p w14:paraId="0E84DB05">
            <w:pPr>
              <w:widowControl/>
              <w:ind w:firstLine="420" w:firstLineChars="200"/>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城镇污水处理、垃圾处理、危险废物处置等公共设施的运营单位。</w:t>
            </w:r>
          </w:p>
        </w:tc>
        <w:tc>
          <w:tcPr>
            <w:tcW w:w="4717" w:type="dxa"/>
            <w:tcBorders>
              <w:top w:val="single" w:color="auto" w:sz="4" w:space="0"/>
              <w:left w:val="single" w:color="000000" w:sz="4" w:space="0"/>
              <w:bottom w:val="single" w:color="000000" w:sz="4" w:space="0"/>
              <w:right w:val="single" w:color="000000" w:sz="4" w:space="0"/>
            </w:tcBorders>
            <w:vAlign w:val="center"/>
          </w:tcPr>
          <w:p w14:paraId="19D303B8">
            <w:pPr>
              <w:widowControl/>
              <w:jc w:val="lef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生态环境部《环境保护主管部门实施查封、扣押办法》第六条第一项、第二项、第三项</w:t>
            </w:r>
          </w:p>
        </w:tc>
      </w:tr>
      <w:tr w14:paraId="3ACC7481">
        <w:tblPrEx>
          <w:tblCellMar>
            <w:top w:w="0" w:type="dxa"/>
            <w:left w:w="108" w:type="dxa"/>
            <w:bottom w:w="0" w:type="dxa"/>
            <w:right w:w="108" w:type="dxa"/>
          </w:tblCellMar>
        </w:tblPrEx>
        <w:trPr>
          <w:trHeight w:val="904" w:hRule="atLeast"/>
          <w:jc w:val="center"/>
        </w:trPr>
        <w:tc>
          <w:tcPr>
            <w:tcW w:w="438" w:type="dxa"/>
            <w:tcBorders>
              <w:top w:val="single" w:color="000000" w:sz="4" w:space="0"/>
              <w:left w:val="single" w:color="000000" w:sz="4" w:space="0"/>
              <w:bottom w:val="single" w:color="000000" w:sz="4" w:space="0"/>
              <w:right w:val="single" w:color="000000" w:sz="4" w:space="0"/>
            </w:tcBorders>
            <w:vAlign w:val="center"/>
          </w:tcPr>
          <w:p w14:paraId="416194A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w:t>
            </w:r>
          </w:p>
        </w:tc>
        <w:tc>
          <w:tcPr>
            <w:tcW w:w="3601" w:type="dxa"/>
            <w:gridSpan w:val="2"/>
            <w:tcBorders>
              <w:top w:val="single" w:color="000000" w:sz="4" w:space="0"/>
              <w:left w:val="single" w:color="000000" w:sz="4" w:space="0"/>
              <w:bottom w:val="single" w:color="000000" w:sz="4" w:space="0"/>
              <w:right w:val="single" w:color="000000" w:sz="4" w:space="0"/>
            </w:tcBorders>
            <w:vAlign w:val="center"/>
          </w:tcPr>
          <w:p w14:paraId="5791D2EB">
            <w:pPr>
              <w:widowControl/>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对基本民生、公共利益的强制措施</w:t>
            </w:r>
          </w:p>
        </w:tc>
        <w:tc>
          <w:tcPr>
            <w:tcW w:w="5816" w:type="dxa"/>
            <w:tcBorders>
              <w:top w:val="single" w:color="000000" w:sz="4" w:space="0"/>
              <w:left w:val="single" w:color="000000" w:sz="4" w:space="0"/>
              <w:bottom w:val="single" w:color="000000" w:sz="4" w:space="0"/>
              <w:right w:val="single" w:color="000000" w:sz="4" w:space="0"/>
            </w:tcBorders>
            <w:vAlign w:val="center"/>
          </w:tcPr>
          <w:p w14:paraId="105556F1">
            <w:pPr>
              <w:widowControl/>
              <w:ind w:firstLine="420" w:firstLineChars="200"/>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生产经营业务涉及基本民生、公共利益的。</w:t>
            </w:r>
          </w:p>
        </w:tc>
        <w:tc>
          <w:tcPr>
            <w:tcW w:w="4717" w:type="dxa"/>
            <w:tcBorders>
              <w:top w:val="single" w:color="000000" w:sz="4" w:space="0"/>
              <w:left w:val="single" w:color="000000" w:sz="4" w:space="0"/>
              <w:bottom w:val="single" w:color="000000" w:sz="4" w:space="0"/>
              <w:right w:val="single" w:color="000000" w:sz="4" w:space="0"/>
            </w:tcBorders>
            <w:vAlign w:val="center"/>
          </w:tcPr>
          <w:p w14:paraId="34F51FA9">
            <w:pPr>
              <w:widowControl/>
              <w:jc w:val="lef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生态环境部《环境保护主管部门实施查封、扣押办法》第六条第一项、第二项、第三项</w:t>
            </w:r>
          </w:p>
        </w:tc>
      </w:tr>
      <w:tr w14:paraId="1298D239">
        <w:tblPrEx>
          <w:tblCellMar>
            <w:top w:w="0" w:type="dxa"/>
            <w:left w:w="108" w:type="dxa"/>
            <w:bottom w:w="0" w:type="dxa"/>
            <w:right w:w="108" w:type="dxa"/>
          </w:tblCellMar>
        </w:tblPrEx>
        <w:trPr>
          <w:trHeight w:val="1011" w:hRule="atLeast"/>
          <w:jc w:val="center"/>
        </w:trPr>
        <w:tc>
          <w:tcPr>
            <w:tcW w:w="438" w:type="dxa"/>
            <w:tcBorders>
              <w:top w:val="single" w:color="000000" w:sz="4" w:space="0"/>
              <w:left w:val="single" w:color="000000" w:sz="4" w:space="0"/>
              <w:bottom w:val="single" w:color="000000" w:sz="4" w:space="0"/>
              <w:right w:val="single" w:color="000000" w:sz="4" w:space="0"/>
            </w:tcBorders>
            <w:vAlign w:val="center"/>
          </w:tcPr>
          <w:p w14:paraId="509E581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w:t>
            </w:r>
          </w:p>
        </w:tc>
        <w:tc>
          <w:tcPr>
            <w:tcW w:w="3601" w:type="dxa"/>
            <w:gridSpan w:val="2"/>
            <w:tcBorders>
              <w:top w:val="single" w:color="000000" w:sz="4" w:space="0"/>
              <w:left w:val="single" w:color="000000" w:sz="4" w:space="0"/>
              <w:bottom w:val="single" w:color="000000" w:sz="4" w:space="0"/>
              <w:right w:val="single" w:color="000000" w:sz="4" w:space="0"/>
            </w:tcBorders>
            <w:vAlign w:val="center"/>
          </w:tcPr>
          <w:p w14:paraId="65A68BC0">
            <w:pPr>
              <w:widowControl/>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对影响生产安全的强制措施</w:t>
            </w:r>
          </w:p>
        </w:tc>
        <w:tc>
          <w:tcPr>
            <w:tcW w:w="5816" w:type="dxa"/>
            <w:tcBorders>
              <w:top w:val="single" w:color="000000" w:sz="4" w:space="0"/>
              <w:left w:val="single" w:color="000000" w:sz="4" w:space="0"/>
              <w:bottom w:val="single" w:color="000000" w:sz="4" w:space="0"/>
              <w:right w:val="single" w:color="000000" w:sz="4" w:space="0"/>
            </w:tcBorders>
            <w:vAlign w:val="center"/>
          </w:tcPr>
          <w:p w14:paraId="414C2854">
            <w:pPr>
              <w:widowControl/>
              <w:ind w:firstLine="420" w:firstLineChars="200"/>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实施查封、扣押可能影响生产安全的。</w:t>
            </w:r>
          </w:p>
        </w:tc>
        <w:tc>
          <w:tcPr>
            <w:tcW w:w="4717" w:type="dxa"/>
            <w:tcBorders>
              <w:top w:val="single" w:color="000000" w:sz="4" w:space="0"/>
              <w:left w:val="single" w:color="000000" w:sz="4" w:space="0"/>
              <w:bottom w:val="single" w:color="000000" w:sz="4" w:space="0"/>
              <w:right w:val="single" w:color="000000" w:sz="4" w:space="0"/>
            </w:tcBorders>
            <w:vAlign w:val="center"/>
          </w:tcPr>
          <w:p w14:paraId="21B407B8">
            <w:pPr>
              <w:widowControl/>
              <w:jc w:val="lef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生态环境部《环境保护主管部门实施查封、扣押办法》第六条第一项、第二项、第三项</w:t>
            </w:r>
          </w:p>
        </w:tc>
      </w:tr>
    </w:tbl>
    <w:p w14:paraId="0BC586EA">
      <w:pPr>
        <w:rPr>
          <w:rFonts w:hint="eastAsia"/>
        </w:rPr>
      </w:pPr>
    </w:p>
    <w:p w14:paraId="1F498E43">
      <w:pPr>
        <w:sectPr>
          <w:pgSz w:w="16838" w:h="11906" w:orient="landscape"/>
          <w:pgMar w:top="1800" w:right="1440" w:bottom="1800" w:left="1440" w:header="851" w:footer="992" w:gutter="0"/>
          <w:cols w:space="425" w:num="1"/>
          <w:docGrid w:type="lines" w:linePitch="312" w:charSpace="0"/>
        </w:sectPr>
      </w:pPr>
    </w:p>
    <w:p w14:paraId="5A277AD2">
      <w:pPr>
        <w:spacing w:line="59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附件2</w:t>
      </w:r>
    </w:p>
    <w:p w14:paraId="03EA6BF7">
      <w:pPr>
        <w:pStyle w:val="3"/>
        <w:spacing w:line="590" w:lineRule="exact"/>
        <w:rPr>
          <w:rFonts w:ascii="Times New Roman" w:hAnsi="Times New Roman" w:eastAsia="方正黑体_GBK"/>
          <w:sz w:val="32"/>
          <w:szCs w:val="32"/>
        </w:rPr>
      </w:pPr>
    </w:p>
    <w:p w14:paraId="04CD11C5">
      <w:pPr>
        <w:spacing w:line="700"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承 诺 书（模板）</w:t>
      </w:r>
    </w:p>
    <w:p w14:paraId="62520B8D">
      <w:pPr>
        <w:spacing w:line="300" w:lineRule="exact"/>
        <w:jc w:val="center"/>
        <w:rPr>
          <w:rFonts w:eastAsia="方正小标宋_GBK"/>
          <w:bCs/>
          <w:color w:val="000000"/>
          <w:sz w:val="44"/>
          <w:szCs w:val="44"/>
        </w:rPr>
      </w:pPr>
    </w:p>
    <w:p w14:paraId="7F57261F">
      <w:pPr>
        <w:jc w:val="center"/>
        <w:rPr>
          <w:rFonts w:hint="eastAsia" w:ascii="仿宋_GB2312" w:hAnsi="仿宋_GB2312" w:cs="仿宋_GB2312"/>
          <w:color w:val="000000"/>
          <w:sz w:val="32"/>
          <w:szCs w:val="32"/>
        </w:rPr>
      </w:pPr>
      <w:r>
        <w:rPr>
          <w:rFonts w:hint="eastAsia" w:ascii="仿宋_GB2312" w:hAnsi="仿宋_GB2312" w:cs="仿宋_GB2312"/>
          <w:color w:val="000000"/>
          <w:sz w:val="32"/>
          <w:szCs w:val="32"/>
        </w:rPr>
        <w:t xml:space="preserve">                             </w:t>
      </w:r>
      <w:r>
        <w:rPr>
          <w:rFonts w:hint="eastAsia" w:ascii="仿宋_GB2312" w:hAnsi="仿宋_GB2312" w:cs="仿宋_GB2312"/>
          <w:sz w:val="32"/>
          <w:szCs w:val="32"/>
        </w:rPr>
        <w:t>编号：</w:t>
      </w:r>
      <w:r>
        <w:rPr>
          <w:rFonts w:hint="eastAsia" w:ascii="仿宋_GB2312" w:hAnsi="仿宋_GB2312" w:cs="仿宋_GB2312"/>
          <w:sz w:val="32"/>
          <w:szCs w:val="32"/>
          <w:u w:val="single"/>
        </w:rPr>
        <w:t xml:space="preserve">         </w:t>
      </w:r>
    </w:p>
    <w:p w14:paraId="4C75F996">
      <w:pPr>
        <w:spacing w:line="590" w:lineRule="exact"/>
        <w:rPr>
          <w:rFonts w:hint="eastAsia" w:ascii="仿宋_GB2312" w:hAnsi="仿宋_GB2312" w:cs="仿宋_GB2312"/>
          <w:sz w:val="32"/>
          <w:szCs w:val="32"/>
        </w:rPr>
      </w:pPr>
      <w:r>
        <w:rPr>
          <w:rFonts w:hint="eastAsia" w:ascii="仿宋_GB2312" w:hAnsi="仿宋_GB2312" w:cs="仿宋_GB2312"/>
          <w:sz w:val="32"/>
          <w:szCs w:val="32"/>
          <w:u w:val="single"/>
        </w:rPr>
        <w:t xml:space="preserve">                </w:t>
      </w:r>
      <w:r>
        <w:rPr>
          <w:rFonts w:hint="eastAsia" w:ascii="仿宋_GB2312" w:hAnsi="仿宋_GB2312" w:cs="仿宋_GB2312"/>
          <w:sz w:val="32"/>
          <w:szCs w:val="32"/>
        </w:rPr>
        <w:t>：</w:t>
      </w:r>
    </w:p>
    <w:p w14:paraId="5897B743">
      <w:pPr>
        <w:spacing w:line="590" w:lineRule="exact"/>
        <w:ind w:firstLine="640"/>
        <w:rPr>
          <w:rFonts w:hint="eastAsia" w:ascii="仿宋_GB2312" w:hAnsi="仿宋_GB2312" w:cs="仿宋_GB2312"/>
          <w:sz w:val="32"/>
          <w:szCs w:val="32"/>
        </w:rPr>
      </w:pPr>
      <w:r>
        <w:rPr>
          <w:rFonts w:hint="eastAsia" w:ascii="仿宋_GB2312" w:hAnsi="仿宋_GB2312" w:cs="仿宋_GB2312"/>
          <w:sz w:val="32"/>
          <w:szCs w:val="32"/>
        </w:rPr>
        <w:t>你厅（局）执法人员</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在</w:t>
      </w:r>
    </w:p>
    <w:p w14:paraId="788E7EC2">
      <w:pPr>
        <w:spacing w:line="590" w:lineRule="exact"/>
        <w:rPr>
          <w:rFonts w:hint="eastAsia" w:ascii="仿宋_GB2312" w:hAnsi="仿宋_GB2312" w:cs="仿宋_GB2312"/>
          <w:sz w:val="32"/>
          <w:szCs w:val="32"/>
        </w:rPr>
      </w:pPr>
      <w:r>
        <w:rPr>
          <w:rFonts w:hint="eastAsia" w:ascii="仿宋_GB2312" w:hAnsi="仿宋_GB2312" w:cs="仿宋_GB2312"/>
          <w:sz w:val="32"/>
          <w:szCs w:val="32"/>
          <w:u w:val="single"/>
        </w:rPr>
        <w:t xml:space="preserve">     </w:t>
      </w:r>
      <w:r>
        <w:rPr>
          <w:rFonts w:hint="eastAsia" w:ascii="仿宋_GB2312" w:hAnsi="仿宋_GB2312" w:cs="仿宋_GB2312"/>
          <w:sz w:val="32"/>
          <w:szCs w:val="32"/>
        </w:rPr>
        <w:t>年</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月</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日的监督检查中发现我（单位）存在</w:t>
      </w:r>
      <w:r>
        <w:rPr>
          <w:rFonts w:hint="eastAsia" w:ascii="仿宋_GB2312" w:hAnsi="仿宋_GB2312" w:cs="仿宋_GB2312"/>
          <w:sz w:val="32"/>
          <w:szCs w:val="32"/>
          <w:u w:val="single"/>
        </w:rPr>
        <w:t xml:space="preserve">                </w:t>
      </w:r>
    </w:p>
    <w:p w14:paraId="5939CF5F">
      <w:pPr>
        <w:spacing w:line="590" w:lineRule="exact"/>
        <w:ind w:left="320" w:right="-195" w:rightChars="-93" w:hanging="320" w:hangingChars="100"/>
        <w:rPr>
          <w:rFonts w:hint="eastAsia" w:ascii="仿宋_GB2312" w:hAnsi="仿宋_GB2312" w:cs="仿宋_GB2312"/>
          <w:sz w:val="32"/>
          <w:szCs w:val="32"/>
          <w:u w:val="single"/>
        </w:rPr>
      </w:pPr>
      <w:r>
        <w:rPr>
          <w:rFonts w:hint="eastAsia" w:ascii="仿宋_GB2312" w:hAnsi="仿宋_GB2312" w:cs="仿宋_GB2312"/>
          <w:sz w:val="32"/>
          <w:szCs w:val="32"/>
          <w:u w:val="single"/>
        </w:rPr>
        <w:t xml:space="preserve">                                                       </w:t>
      </w:r>
    </w:p>
    <w:p w14:paraId="01D02740">
      <w:pPr>
        <w:spacing w:line="590" w:lineRule="exact"/>
        <w:ind w:left="320" w:right="-195" w:rightChars="-93" w:hanging="320" w:hangingChars="100"/>
        <w:rPr>
          <w:rFonts w:hint="eastAsia" w:ascii="仿宋_GB2312" w:hAnsi="仿宋_GB2312" w:cs="仿宋_GB2312"/>
          <w:sz w:val="32"/>
          <w:szCs w:val="32"/>
        </w:rPr>
      </w:pPr>
      <w:r>
        <w:rPr>
          <w:rFonts w:hint="eastAsia" w:ascii="仿宋_GB2312" w:hAnsi="仿宋_GB2312" w:cs="仿宋_GB2312"/>
          <w:sz w:val="32"/>
          <w:szCs w:val="32"/>
        </w:rPr>
        <w:t>违法行为，执法人员已向我（单位）进行了相关告知和批评教育，</w:t>
      </w:r>
    </w:p>
    <w:p w14:paraId="6EE53808">
      <w:pPr>
        <w:spacing w:line="590" w:lineRule="exact"/>
        <w:ind w:left="320" w:right="-195" w:rightChars="-93" w:hanging="320" w:hangingChars="100"/>
        <w:rPr>
          <w:rFonts w:hint="eastAsia" w:ascii="仿宋_GB2312" w:hAnsi="仿宋_GB2312" w:cs="仿宋_GB2312"/>
          <w:sz w:val="32"/>
          <w:szCs w:val="32"/>
        </w:rPr>
      </w:pPr>
      <w:r>
        <w:rPr>
          <w:rFonts w:hint="eastAsia" w:ascii="仿宋_GB2312" w:hAnsi="仿宋_GB2312" w:cs="仿宋_GB2312"/>
          <w:sz w:val="32"/>
          <w:szCs w:val="32"/>
        </w:rPr>
        <w:t>并要求我（单位）予以改正。</w:t>
      </w:r>
    </w:p>
    <w:p w14:paraId="2776E0F8">
      <w:pPr>
        <w:spacing w:line="590" w:lineRule="exact"/>
        <w:ind w:firstLine="640"/>
        <w:rPr>
          <w:rFonts w:hint="eastAsia" w:ascii="仿宋_GB2312" w:hAnsi="仿宋_GB2312" w:cs="仿宋_GB2312"/>
          <w:sz w:val="32"/>
          <w:szCs w:val="32"/>
        </w:rPr>
      </w:pPr>
      <w:r>
        <w:rPr>
          <w:rFonts w:hint="eastAsia" w:ascii="仿宋_GB2312" w:hAnsi="仿宋_GB2312" w:cs="仿宋_GB2312"/>
          <w:sz w:val="32"/>
          <w:szCs w:val="32"/>
        </w:rPr>
        <w:t>我（单位）对以上情况确认无误，并自愿承诺：</w:t>
      </w:r>
    </w:p>
    <w:p w14:paraId="31202393">
      <w:pPr>
        <w:spacing w:line="590" w:lineRule="exact"/>
        <w:ind w:firstLine="640"/>
        <w:rPr>
          <w:rFonts w:hint="eastAsia" w:ascii="仿宋_GB2312" w:hAnsi="仿宋_GB2312" w:cs="仿宋_GB2312"/>
          <w:sz w:val="32"/>
          <w:szCs w:val="32"/>
        </w:rPr>
      </w:pPr>
      <w:r>
        <w:rPr>
          <w:rFonts w:hint="eastAsia" w:ascii="仿宋_GB2312" w:hAnsi="仿宋_GB2312" w:cs="仿宋_GB2312"/>
          <w:sz w:val="32"/>
          <w:szCs w:val="32"/>
        </w:rPr>
        <w:sym w:font="Wingdings" w:char="00A8"/>
      </w:r>
      <w:r>
        <w:rPr>
          <w:rFonts w:hint="eastAsia" w:ascii="仿宋_GB2312" w:hAnsi="仿宋_GB2312" w:cs="仿宋_GB2312"/>
          <w:sz w:val="32"/>
          <w:szCs w:val="32"/>
        </w:rPr>
        <w:t>1. 立即予以改正；</w:t>
      </w:r>
    </w:p>
    <w:p w14:paraId="04C40A9D">
      <w:pPr>
        <w:spacing w:line="590" w:lineRule="exact"/>
        <w:ind w:firstLine="640"/>
        <w:rPr>
          <w:rFonts w:hint="eastAsia" w:ascii="仿宋_GB2312" w:hAnsi="仿宋_GB2312" w:cs="仿宋_GB2312"/>
          <w:sz w:val="32"/>
          <w:szCs w:val="32"/>
        </w:rPr>
      </w:pPr>
      <w:r>
        <w:rPr>
          <w:rFonts w:hint="eastAsia" w:ascii="仿宋_GB2312" w:hAnsi="仿宋_GB2312" w:cs="仿宋_GB2312"/>
          <w:sz w:val="32"/>
          <w:szCs w:val="32"/>
        </w:rPr>
        <w:sym w:font="Wingdings" w:char="00A8"/>
      </w:r>
      <w:r>
        <w:rPr>
          <w:rFonts w:hint="eastAsia" w:ascii="仿宋_GB2312" w:hAnsi="仿宋_GB2312" w:cs="仿宋_GB2312"/>
          <w:sz w:val="32"/>
          <w:szCs w:val="32"/>
        </w:rPr>
        <w:t>2. 在</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年</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月</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日前改正完成，并将整改情况说明及相关证明材料送达你厅（局）。</w:t>
      </w:r>
    </w:p>
    <w:p w14:paraId="04B3B865">
      <w:pPr>
        <w:spacing w:line="590" w:lineRule="exact"/>
        <w:ind w:firstLine="600"/>
        <w:rPr>
          <w:rFonts w:hint="eastAsia" w:ascii="仿宋_GB2312" w:hAnsi="仿宋_GB2312" w:cs="仿宋_GB2312"/>
          <w:sz w:val="32"/>
          <w:szCs w:val="32"/>
        </w:rPr>
      </w:pPr>
      <w:r>
        <w:rPr>
          <w:rFonts w:hint="eastAsia" w:ascii="仿宋_GB2312" w:hAnsi="仿宋_GB2312" w:cs="仿宋_GB2312"/>
          <w:sz w:val="32"/>
          <w:szCs w:val="32"/>
        </w:rPr>
        <w:t>若我（单位）未履行上述承诺，愿依法承担相应的法律责任。</w:t>
      </w:r>
    </w:p>
    <w:p w14:paraId="2735EF07">
      <w:pPr>
        <w:spacing w:line="590" w:lineRule="exact"/>
        <w:rPr>
          <w:rFonts w:hint="eastAsia" w:ascii="仿宋_GB2312" w:hAnsi="仿宋_GB2312" w:cs="仿宋_GB2312"/>
          <w:sz w:val="32"/>
          <w:szCs w:val="32"/>
        </w:rPr>
      </w:pPr>
    </w:p>
    <w:p w14:paraId="6E8C7334">
      <w:pPr>
        <w:spacing w:line="590" w:lineRule="exact"/>
        <w:ind w:right="840" w:rightChars="400"/>
        <w:jc w:val="center"/>
        <w:rPr>
          <w:rFonts w:hint="eastAsia" w:ascii="仿宋_GB2312" w:hAnsi="仿宋_GB2312" w:cs="仿宋_GB2312"/>
          <w:sz w:val="32"/>
          <w:szCs w:val="32"/>
        </w:rPr>
      </w:pPr>
      <w:r>
        <w:rPr>
          <w:rFonts w:hint="eastAsia" w:ascii="仿宋_GB2312" w:hAnsi="仿宋_GB2312" w:cs="仿宋_GB2312"/>
          <w:sz w:val="32"/>
          <w:szCs w:val="32"/>
        </w:rPr>
        <w:t xml:space="preserve">                           承诺人签名或盖章：    </w:t>
      </w:r>
    </w:p>
    <w:p w14:paraId="5C4E61DA">
      <w:pPr>
        <w:tabs>
          <w:tab w:val="left" w:pos="567"/>
        </w:tabs>
        <w:spacing w:line="590" w:lineRule="exact"/>
        <w:ind w:right="840" w:rightChars="400"/>
        <w:jc w:val="center"/>
        <w:rPr>
          <w:rFonts w:hint="eastAsia" w:ascii="仿宋_GB2312" w:hAnsi="仿宋_GB2312" w:cs="仿宋_GB2312"/>
          <w:sz w:val="32"/>
          <w:szCs w:val="32"/>
        </w:rPr>
      </w:pPr>
      <w:r>
        <w:rPr>
          <w:rFonts w:hint="eastAsia" w:ascii="仿宋_GB2312" w:hAnsi="仿宋_GB2312" w:cs="仿宋_GB2312"/>
          <w:sz w:val="32"/>
          <w:szCs w:val="32"/>
        </w:rPr>
        <w:t xml:space="preserve">                         年   月   日</w:t>
      </w:r>
    </w:p>
    <w:p w14:paraId="4F514B57">
      <w:pPr>
        <w:pStyle w:val="2"/>
        <w:rPr>
          <w:rFonts w:hint="eastAsia"/>
        </w:rPr>
      </w:pPr>
    </w:p>
    <w:p w14:paraId="043F9C8B">
      <w:pPr>
        <w:spacing w:line="590" w:lineRule="exact"/>
        <w:rPr>
          <w:rFonts w:hint="eastAsia" w:ascii="仿宋_GB2312" w:hAnsi="仿宋_GB2312" w:cs="仿宋_GB2312"/>
          <w:sz w:val="32"/>
          <w:szCs w:val="32"/>
        </w:rPr>
      </w:pPr>
      <w:r>
        <w:rPr>
          <w:rFonts w:hint="eastAsia" w:ascii="仿宋_GB2312" w:hAnsi="仿宋_GB2312" w:cs="仿宋_GB2312"/>
          <w:sz w:val="32"/>
          <w:szCs w:val="32"/>
        </w:rPr>
        <w:t>附：当事人身份证（营业执照）复印件。</w:t>
      </w:r>
    </w:p>
    <w:p w14:paraId="4EDF45D3">
      <w:pPr>
        <w:rPr>
          <w:rFonts w:hint="eastAsia" w:ascii="仿宋_GB2312" w:hAnsi="仿宋_GB2312" w:cs="仿宋_GB2312"/>
          <w:sz w:val="32"/>
          <w:szCs w:val="32"/>
        </w:rPr>
      </w:pPr>
      <w:r>
        <w:rPr>
          <w:rFonts w:hint="eastAsia" w:ascii="仿宋_GB2312" w:hAnsi="仿宋_GB2312" w:cs="仿宋_GB2312"/>
          <w:sz w:val="32"/>
          <w:szCs w:val="32"/>
        </w:rPr>
        <w:t>注：本承诺书一式两份，生态环境部门和当事人各一份。</w:t>
      </w:r>
    </w:p>
    <w:p w14:paraId="476D7391"/>
    <w:p w14:paraId="7EEB5E80">
      <w:pPr>
        <w:pStyle w:val="2"/>
      </w:pPr>
    </w:p>
    <w:p w14:paraId="517A10C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ED7754A-8A96-4840-8A81-3F35013ED8F4}"/>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33FCFBA8-54AA-4DAC-8CA6-D3C481E763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embedRegular r:id="rId3" w:fontKey="{135FB1AB-9DFD-4E83-9619-9412CD47CD4A}"/>
  </w:font>
  <w:font w:name="方正小标宋简体">
    <w:panose1 w:val="02000000000000000000"/>
    <w:charset w:val="86"/>
    <w:family w:val="auto"/>
    <w:pitch w:val="default"/>
    <w:sig w:usb0="00000001" w:usb1="08000000" w:usb2="00000000" w:usb3="00000000" w:csb0="00040000" w:csb1="00000000"/>
    <w:embedRegular r:id="rId4" w:fontKey="{C2B743DF-A334-43A3-95F7-641E64E7BDCF}"/>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embedRegular r:id="rId5" w:fontKey="{31F4CC82-7F97-478E-A691-56C82BB66AF9}"/>
  </w:font>
  <w:font w:name="方正小标宋_GBK">
    <w:altName w:val="微软雅黑"/>
    <w:panose1 w:val="03000509000000000000"/>
    <w:charset w:val="86"/>
    <w:family w:val="script"/>
    <w:pitch w:val="default"/>
    <w:sig w:usb0="00000000" w:usb1="00000000" w:usb2="00000010" w:usb3="00000000" w:csb0="00040000" w:csb1="00000000"/>
    <w:embedRegular r:id="rId6" w:fontKey="{1A63EC3E-0EDC-4C0A-956F-18001E4EFFB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2F2B26"/>
    <w:multiLevelType w:val="multilevel"/>
    <w:tmpl w:val="FD2F2B2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CE0DCB"/>
    <w:rsid w:val="61CE0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note text"/>
    <w:basedOn w:val="1"/>
    <w:unhideWhenUsed/>
    <w:qFormat/>
    <w:uiPriority w:val="99"/>
    <w:rPr>
      <w:rFonts w:ascii="Calibri" w:hAnsi="Calibri"/>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2024-12-20T06:00:00Z</dcterms:created>
  <dc:creator>玲俐</dc:creator>
  <cp:lastModifiedBy>玲俐</cp:lastModifiedBy>
  <dcterms:modified xsi:type="dcterms:W3CDTF">2024-12-20T06:02:48Z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D8AB1DB628264FEDB7163EE7809FE03A_11</vt:lpwstr>
  </property>
</Properties>
</file>