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A8E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105"/>
          <w:kern w:val="0"/>
          <w:sz w:val="18"/>
          <w:szCs w:val="18"/>
          <w:bdr w:val="none" w:color="auto" w:sz="0" w:space="0"/>
          <w:shd w:val="clear" w:fill="FFFFFF"/>
          <w:lang w:val="en-US" w:eastAsia="zh-CN" w:bidi="ar"/>
        </w:rPr>
        <w:t>索引号</w:t>
      </w:r>
      <w:r>
        <w:rPr>
          <w:rFonts w:hint="eastAsia" w:ascii="微软雅黑" w:hAnsi="微软雅黑" w:eastAsia="微软雅黑" w:cs="微软雅黑"/>
          <w:i w:val="0"/>
          <w:iCs w:val="0"/>
          <w:caps w:val="0"/>
          <w:color w:val="333333"/>
          <w:spacing w:val="0"/>
          <w:kern w:val="0"/>
          <w:sz w:val="18"/>
          <w:szCs w:val="18"/>
          <w:bdr w:val="none" w:color="auto" w:sz="0" w:space="0"/>
          <w:shd w:val="clear" w:fill="FFFFFF"/>
          <w:lang w:val="en-US" w:eastAsia="zh-CN" w:bidi="ar"/>
        </w:rPr>
        <w:t>：</w:t>
      </w:r>
      <w:r>
        <w:rPr>
          <w:rFonts w:hint="eastAsia" w:ascii="微软雅黑" w:hAnsi="微软雅黑" w:eastAsia="微软雅黑" w:cs="微软雅黑"/>
          <w:b/>
          <w:bCs/>
          <w:i w:val="0"/>
          <w:iCs w:val="0"/>
          <w:caps w:val="0"/>
          <w:color w:val="333333"/>
          <w:spacing w:val="0"/>
          <w:kern w:val="0"/>
          <w:sz w:val="18"/>
          <w:szCs w:val="18"/>
          <w:bdr w:val="none" w:color="auto" w:sz="0" w:space="0"/>
          <w:shd w:val="clear" w:fill="FFFFFF"/>
          <w:lang w:val="en-US" w:eastAsia="zh-CN" w:bidi="ar"/>
        </w:rPr>
        <w:t>主题分类</w:t>
      </w:r>
      <w:r>
        <w:rPr>
          <w:rFonts w:hint="eastAsia" w:ascii="微软雅黑" w:hAnsi="微软雅黑" w:eastAsia="微软雅黑" w:cs="微软雅黑"/>
          <w:i w:val="0"/>
          <w:iCs w:val="0"/>
          <w:caps w:val="0"/>
          <w:color w:val="333333"/>
          <w:spacing w:val="0"/>
          <w:kern w:val="0"/>
          <w:sz w:val="18"/>
          <w:szCs w:val="18"/>
          <w:bdr w:val="none" w:color="auto" w:sz="0" w:space="0"/>
          <w:shd w:val="clear" w:fill="FFFFFF"/>
          <w:lang w:val="en-US" w:eastAsia="zh-CN" w:bidi="ar"/>
        </w:rPr>
        <w:t>：法定主动公开内容/通知公告</w:t>
      </w:r>
    </w:p>
    <w:p w14:paraId="54E4A1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18"/>
          <w:szCs w:val="18"/>
          <w:bdr w:val="none" w:color="auto" w:sz="0" w:space="0"/>
          <w:shd w:val="clear" w:fill="FFFFFF"/>
          <w:lang w:val="en-US" w:eastAsia="zh-CN" w:bidi="ar"/>
        </w:rPr>
        <w:t>发文机关</w:t>
      </w:r>
      <w:r>
        <w:rPr>
          <w:rFonts w:hint="eastAsia" w:ascii="微软雅黑" w:hAnsi="微软雅黑" w:eastAsia="微软雅黑" w:cs="微软雅黑"/>
          <w:i w:val="0"/>
          <w:iCs w:val="0"/>
          <w:caps w:val="0"/>
          <w:color w:val="333333"/>
          <w:spacing w:val="0"/>
          <w:kern w:val="0"/>
          <w:sz w:val="18"/>
          <w:szCs w:val="18"/>
          <w:bdr w:val="none" w:color="auto" w:sz="0" w:space="0"/>
          <w:shd w:val="clear" w:fill="FFFFFF"/>
          <w:lang w:val="en-US" w:eastAsia="zh-CN" w:bidi="ar"/>
        </w:rPr>
        <w:t>：河北省市场监督管理局</w:t>
      </w:r>
      <w:r>
        <w:rPr>
          <w:rFonts w:hint="eastAsia" w:ascii="微软雅黑" w:hAnsi="微软雅黑" w:eastAsia="微软雅黑" w:cs="微软雅黑"/>
          <w:b/>
          <w:bCs/>
          <w:i w:val="0"/>
          <w:iCs w:val="0"/>
          <w:caps w:val="0"/>
          <w:color w:val="333333"/>
          <w:spacing w:val="0"/>
          <w:kern w:val="0"/>
          <w:sz w:val="18"/>
          <w:szCs w:val="18"/>
          <w:bdr w:val="none" w:color="auto" w:sz="0" w:space="0"/>
          <w:shd w:val="clear" w:fill="FFFFFF"/>
          <w:lang w:val="en-US" w:eastAsia="zh-CN" w:bidi="ar"/>
        </w:rPr>
        <w:t>成文日期</w:t>
      </w:r>
      <w:r>
        <w:rPr>
          <w:rFonts w:hint="eastAsia" w:ascii="微软雅黑" w:hAnsi="微软雅黑" w:eastAsia="微软雅黑" w:cs="微软雅黑"/>
          <w:i w:val="0"/>
          <w:iCs w:val="0"/>
          <w:caps w:val="0"/>
          <w:color w:val="333333"/>
          <w:spacing w:val="0"/>
          <w:kern w:val="0"/>
          <w:sz w:val="18"/>
          <w:szCs w:val="18"/>
          <w:bdr w:val="none" w:color="auto" w:sz="0" w:space="0"/>
          <w:shd w:val="clear" w:fill="FFFFFF"/>
          <w:lang w:val="en-US" w:eastAsia="zh-CN" w:bidi="ar"/>
        </w:rPr>
        <w:t>：2024-09-04</w:t>
      </w:r>
    </w:p>
    <w:p w14:paraId="484C67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420"/>
          <w:kern w:val="0"/>
          <w:sz w:val="18"/>
          <w:szCs w:val="18"/>
          <w:bdr w:val="none" w:color="auto" w:sz="0" w:space="0"/>
          <w:shd w:val="clear" w:fill="FFFFFF"/>
          <w:lang w:val="en-US" w:eastAsia="zh-CN" w:bidi="ar"/>
        </w:rPr>
        <w:t>标题</w:t>
      </w:r>
      <w:r>
        <w:rPr>
          <w:rFonts w:hint="eastAsia" w:ascii="微软雅黑" w:hAnsi="微软雅黑" w:eastAsia="微软雅黑" w:cs="微软雅黑"/>
          <w:i w:val="0"/>
          <w:iCs w:val="0"/>
          <w:caps w:val="0"/>
          <w:color w:val="333333"/>
          <w:spacing w:val="0"/>
          <w:kern w:val="0"/>
          <w:sz w:val="18"/>
          <w:szCs w:val="18"/>
          <w:bdr w:val="none" w:color="auto" w:sz="0" w:space="0"/>
          <w:shd w:val="clear" w:fill="FFFFFF"/>
          <w:lang w:val="en-US" w:eastAsia="zh-CN" w:bidi="ar"/>
        </w:rPr>
        <w:t>：河北省市场监督管理局关于开展热电企业特种设备安全专项治理工作的通知</w:t>
      </w:r>
      <w:bookmarkStart w:id="1" w:name="_GoBack"/>
      <w:bookmarkEnd w:id="1"/>
    </w:p>
    <w:p w14:paraId="7D9DA3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18"/>
          <w:szCs w:val="18"/>
          <w:bdr w:val="none" w:color="auto" w:sz="0" w:space="0"/>
          <w:shd w:val="clear" w:fill="FFFFFF"/>
          <w:lang w:val="en-US" w:eastAsia="zh-CN" w:bidi="ar"/>
        </w:rPr>
        <w:t>发文字号</w:t>
      </w:r>
      <w:r>
        <w:rPr>
          <w:rFonts w:hint="eastAsia" w:ascii="微软雅黑" w:hAnsi="微软雅黑" w:eastAsia="微软雅黑" w:cs="微软雅黑"/>
          <w:i w:val="0"/>
          <w:iCs w:val="0"/>
          <w:caps w:val="0"/>
          <w:color w:val="333333"/>
          <w:spacing w:val="0"/>
          <w:kern w:val="0"/>
          <w:sz w:val="18"/>
          <w:szCs w:val="18"/>
          <w:bdr w:val="none" w:color="auto" w:sz="0" w:space="0"/>
          <w:shd w:val="clear" w:fill="FFFFFF"/>
          <w:lang w:val="en-US" w:eastAsia="zh-CN" w:bidi="ar"/>
        </w:rPr>
        <w:t>：冀市监函〔2024〕352号</w:t>
      </w:r>
      <w:r>
        <w:rPr>
          <w:rFonts w:hint="eastAsia" w:ascii="微软雅黑" w:hAnsi="微软雅黑" w:eastAsia="微软雅黑" w:cs="微软雅黑"/>
          <w:b/>
          <w:bCs/>
          <w:i w:val="0"/>
          <w:iCs w:val="0"/>
          <w:caps w:val="0"/>
          <w:color w:val="333333"/>
          <w:spacing w:val="0"/>
          <w:kern w:val="0"/>
          <w:sz w:val="18"/>
          <w:szCs w:val="18"/>
          <w:bdr w:val="none" w:color="auto" w:sz="0" w:space="0"/>
          <w:shd w:val="clear" w:fill="FFFFFF"/>
          <w:lang w:val="en-US" w:eastAsia="zh-CN" w:bidi="ar"/>
        </w:rPr>
        <w:t>发布日期</w:t>
      </w:r>
      <w:r>
        <w:rPr>
          <w:rFonts w:hint="eastAsia" w:ascii="微软雅黑" w:hAnsi="微软雅黑" w:eastAsia="微软雅黑" w:cs="微软雅黑"/>
          <w:i w:val="0"/>
          <w:iCs w:val="0"/>
          <w:caps w:val="0"/>
          <w:color w:val="333333"/>
          <w:spacing w:val="0"/>
          <w:kern w:val="0"/>
          <w:sz w:val="18"/>
          <w:szCs w:val="18"/>
          <w:bdr w:val="none" w:color="auto" w:sz="0" w:space="0"/>
          <w:shd w:val="clear" w:fill="FFFFFF"/>
          <w:lang w:val="en-US" w:eastAsia="zh-CN" w:bidi="ar"/>
        </w:rPr>
        <w:t>：2024-09-09</w:t>
      </w:r>
    </w:p>
    <w:p w14:paraId="060F51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105"/>
          <w:kern w:val="0"/>
          <w:sz w:val="18"/>
          <w:szCs w:val="18"/>
          <w:bdr w:val="none" w:color="auto" w:sz="0" w:space="0"/>
          <w:shd w:val="clear" w:fill="FFFFFF"/>
          <w:lang w:val="en-US" w:eastAsia="zh-CN" w:bidi="ar"/>
        </w:rPr>
        <w:t>主题词</w:t>
      </w:r>
      <w:r>
        <w:rPr>
          <w:rFonts w:hint="eastAsia" w:ascii="微软雅黑" w:hAnsi="微软雅黑" w:eastAsia="微软雅黑" w:cs="微软雅黑"/>
          <w:i w:val="0"/>
          <w:iCs w:val="0"/>
          <w:caps w:val="0"/>
          <w:color w:val="333333"/>
          <w:spacing w:val="0"/>
          <w:kern w:val="0"/>
          <w:sz w:val="18"/>
          <w:szCs w:val="18"/>
          <w:bdr w:val="none" w:color="auto" w:sz="0" w:space="0"/>
          <w:shd w:val="clear" w:fill="FFFFFF"/>
          <w:lang w:val="en-US" w:eastAsia="zh-CN" w:bidi="ar"/>
        </w:rPr>
        <w:t>：</w:t>
      </w:r>
    </w:p>
    <w:p w14:paraId="7D6051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kern w:val="0"/>
          <w:sz w:val="57"/>
          <w:szCs w:val="57"/>
          <w:bdr w:val="none" w:color="auto" w:sz="0" w:space="0"/>
          <w:shd w:val="clear" w:fill="FFFFFF"/>
          <w:lang w:val="en-US" w:eastAsia="zh-CN" w:bidi="ar"/>
        </w:rPr>
        <w:t>河北省市场监督管理局</w:t>
      </w:r>
      <w:r>
        <w:rPr>
          <w:rFonts w:hint="eastAsia" w:ascii="微软雅黑" w:hAnsi="微软雅黑" w:eastAsia="微软雅黑" w:cs="微软雅黑"/>
          <w:b w:val="0"/>
          <w:bCs w:val="0"/>
          <w:i w:val="0"/>
          <w:iCs w:val="0"/>
          <w:caps w:val="0"/>
          <w:color w:val="333333"/>
          <w:spacing w:val="0"/>
          <w:kern w:val="0"/>
          <w:sz w:val="57"/>
          <w:szCs w:val="57"/>
          <w:bdr w:val="none" w:color="auto" w:sz="0" w:space="0"/>
          <w:shd w:val="clear" w:fill="FFFFFF"/>
          <w:lang w:val="en-US" w:eastAsia="zh-CN" w:bidi="ar"/>
        </w:rPr>
        <w:br w:type="textWrapping"/>
      </w:r>
      <w:r>
        <w:rPr>
          <w:rFonts w:hint="eastAsia" w:ascii="微软雅黑" w:hAnsi="微软雅黑" w:eastAsia="微软雅黑" w:cs="微软雅黑"/>
          <w:b w:val="0"/>
          <w:bCs w:val="0"/>
          <w:i w:val="0"/>
          <w:iCs w:val="0"/>
          <w:caps w:val="0"/>
          <w:color w:val="333333"/>
          <w:spacing w:val="0"/>
          <w:kern w:val="0"/>
          <w:sz w:val="57"/>
          <w:szCs w:val="57"/>
          <w:bdr w:val="none" w:color="auto" w:sz="0" w:space="0"/>
          <w:shd w:val="clear" w:fill="FFFFFF"/>
          <w:lang w:val="en-US" w:eastAsia="zh-CN" w:bidi="ar"/>
        </w:rPr>
        <w:t>关于开展热电企业特种设备安全</w:t>
      </w:r>
      <w:r>
        <w:rPr>
          <w:rFonts w:hint="eastAsia" w:ascii="微软雅黑" w:hAnsi="微软雅黑" w:eastAsia="微软雅黑" w:cs="微软雅黑"/>
          <w:b w:val="0"/>
          <w:bCs w:val="0"/>
          <w:i w:val="0"/>
          <w:iCs w:val="0"/>
          <w:caps w:val="0"/>
          <w:color w:val="333333"/>
          <w:spacing w:val="0"/>
          <w:kern w:val="0"/>
          <w:sz w:val="57"/>
          <w:szCs w:val="57"/>
          <w:bdr w:val="none" w:color="auto" w:sz="0" w:space="0"/>
          <w:shd w:val="clear" w:fill="FFFFFF"/>
          <w:lang w:val="en-US" w:eastAsia="zh-CN" w:bidi="ar"/>
        </w:rPr>
        <w:br w:type="textWrapping"/>
      </w:r>
      <w:r>
        <w:rPr>
          <w:rFonts w:hint="eastAsia" w:ascii="微软雅黑" w:hAnsi="微软雅黑" w:eastAsia="微软雅黑" w:cs="微软雅黑"/>
          <w:b w:val="0"/>
          <w:bCs w:val="0"/>
          <w:i w:val="0"/>
          <w:iCs w:val="0"/>
          <w:caps w:val="0"/>
          <w:color w:val="333333"/>
          <w:spacing w:val="0"/>
          <w:kern w:val="0"/>
          <w:sz w:val="57"/>
          <w:szCs w:val="57"/>
          <w:bdr w:val="none" w:color="auto" w:sz="0" w:space="0"/>
          <w:shd w:val="clear" w:fill="FFFFFF"/>
          <w:lang w:val="en-US" w:eastAsia="zh-CN" w:bidi="ar"/>
        </w:rPr>
        <w:t>专项治理工作的通知</w:t>
      </w:r>
    </w:p>
    <w:p w14:paraId="55ED09FF">
      <w:pPr>
        <w:keepNext w:val="0"/>
        <w:keepLines w:val="0"/>
        <w:widowControl/>
        <w:suppressLineNumbers w:val="0"/>
        <w:pBdr>
          <w:top w:val="none" w:color="auto" w:sz="0" w:space="0"/>
          <w:left w:val="none" w:color="auto" w:sz="0" w:space="0"/>
          <w:bottom w:val="single" w:color="D62D2D" w:sz="6" w:space="21"/>
          <w:right w:val="none" w:color="auto" w:sz="0" w:space="0"/>
        </w:pBdr>
        <w:shd w:val="clear" w:fill="FFFFFF"/>
        <w:spacing w:before="0" w:beforeAutospacing="0" w:after="600" w:afterAutospacing="0" w:line="435"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来源：河北省市场监督管理局</w:t>
      </w:r>
    </w:p>
    <w:p w14:paraId="4A291C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各市（含定州、辛集市）市场监督管理局，雄安新区综合执法局： </w:t>
      </w:r>
    </w:p>
    <w:p w14:paraId="23F7C9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为进一步筑牢特种设备安全防线，防范和化解特种设备风险隐患，按照年度工作计划和安全生产治本攻坚三年行动工作部署要求，省局决定开展热电企业特种设备安全专项治理。现将有关事项通知如下：</w:t>
      </w:r>
    </w:p>
    <w:p w14:paraId="0F75D4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Style w:val="9"/>
          <w:rFonts w:hint="eastAsia" w:ascii="微软雅黑" w:hAnsi="微软雅黑" w:eastAsia="微软雅黑" w:cs="微软雅黑"/>
          <w:i w:val="0"/>
          <w:iCs w:val="0"/>
          <w:caps w:val="0"/>
          <w:color w:val="333333"/>
          <w:spacing w:val="0"/>
          <w:sz w:val="24"/>
          <w:szCs w:val="24"/>
          <w:bdr w:val="none" w:color="auto" w:sz="0" w:space="0"/>
          <w:shd w:val="clear" w:fill="FFFFFF"/>
        </w:rPr>
        <w:t>一、时间安排</w:t>
      </w:r>
    </w:p>
    <w:p w14:paraId="1605A7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即日起至2024年11月30日。</w:t>
      </w:r>
    </w:p>
    <w:p w14:paraId="76462D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Style w:val="9"/>
          <w:rFonts w:hint="eastAsia" w:ascii="微软雅黑" w:hAnsi="微软雅黑" w:eastAsia="微软雅黑" w:cs="微软雅黑"/>
          <w:i w:val="0"/>
          <w:iCs w:val="0"/>
          <w:caps w:val="0"/>
          <w:color w:val="333333"/>
          <w:spacing w:val="0"/>
          <w:sz w:val="24"/>
          <w:szCs w:val="24"/>
          <w:bdr w:val="none" w:color="auto" w:sz="0" w:space="0"/>
          <w:shd w:val="clear" w:fill="FFFFFF"/>
        </w:rPr>
        <w:t>二、治理范围</w:t>
      </w:r>
    </w:p>
    <w:p w14:paraId="7147B4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使用电站锅炉的热电企业，包括：大型发电企业、自备额定工作压力≥3.8Mpa发电锅炉的生产企业、热电联产企业、生物质发电企业、垃圾焚烧发电企业等。</w:t>
      </w:r>
    </w:p>
    <w:p w14:paraId="6B6569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Style w:val="9"/>
          <w:rFonts w:hint="eastAsia" w:ascii="微软雅黑" w:hAnsi="微软雅黑" w:eastAsia="微软雅黑" w:cs="微软雅黑"/>
          <w:i w:val="0"/>
          <w:iCs w:val="0"/>
          <w:caps w:val="0"/>
          <w:color w:val="333333"/>
          <w:spacing w:val="0"/>
          <w:sz w:val="24"/>
          <w:szCs w:val="24"/>
          <w:bdr w:val="none" w:color="auto" w:sz="0" w:space="0"/>
          <w:shd w:val="clear" w:fill="FFFFFF"/>
        </w:rPr>
        <w:t>三、检查内容</w:t>
      </w:r>
    </w:p>
    <w:p w14:paraId="32B4DD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（一）安全管理制度</w:t>
      </w:r>
    </w:p>
    <w:p w14:paraId="659251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1.是否按规定设置安全管理机构，并书面任命安全总监、安全员；是否开展安全总监、安全员的培训、考核。</w:t>
      </w:r>
    </w:p>
    <w:p w14:paraId="771CD6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2.企业主要负责人、安全总监、安全员身份信息是否录入到“特种设备综合监管系统”。</w:t>
      </w:r>
    </w:p>
    <w:p w14:paraId="500D22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3.特种设备安全管理和作业人员证件是否在有效期内，项目符合要求并办理聘用手续。</w:t>
      </w:r>
    </w:p>
    <w:p w14:paraId="4A4D2C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4.是否按照国家市场监督管理总局令第74号要求制定《特种设备安全管控清单》，建立健全日管控、周排查、月调度工作制度和机制并形成相应的记录。</w:t>
      </w:r>
    </w:p>
    <w:p w14:paraId="445983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5.是否制定事故应急（专项）预案并有演练记录。</w:t>
      </w:r>
    </w:p>
    <w:p w14:paraId="6E0A96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（二）电站锅炉及其范围内管道</w:t>
      </w:r>
    </w:p>
    <w:p w14:paraId="06CBA6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6.电站锅炉安装、改造、重大修理和化学清洗是否按照《锅炉安全技术规程》（TSG11-2020）规定要求进行监督检验。</w:t>
      </w:r>
    </w:p>
    <w:p w14:paraId="63AFE9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7.是否按照《锅炉安全技术规程》（TSG11-2020）第8.9的要求进行锅炉水（介）质定期检验工作。</w:t>
      </w:r>
    </w:p>
    <w:p w14:paraId="4AAC69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8.锅炉及其系统安装完毕后，是否按照《锅炉环保技术规程》（TSG91-2021）、《电站锅炉性能试验规程》（GB/T10184-2015)规定要求进行电站锅炉性能试验，大气污染物初始排放是否达标。</w:t>
      </w:r>
    </w:p>
    <w:p w14:paraId="5A3542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9.是否按照《锅炉环保技术规程》（TSG91-2021）第5.4.1的要求进行锅炉定期能效测试。</w:t>
      </w:r>
    </w:p>
    <w:p w14:paraId="587E5B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（三）其它特种设备</w:t>
      </w:r>
    </w:p>
    <w:p w14:paraId="01C3BE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使用的压力容器、压力管道、起重机械、叉车、电梯等特种设备是否按规定要求办理使用登记，并在定期检验有效期内；拟长期停用的设备是否办理停用手续，并采取有效保护措施、设置停用标志；已报废的特种设备是否办理注销手续。</w:t>
      </w:r>
    </w:p>
    <w:p w14:paraId="68DF6A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设计图纸、安装竣工资料、监督检验报告中的压力管道信息，是否与实际使用的压力管道数量和信息保持一致。尤其是汽机侧管道，如抽气管道、疏水管道、中低压给水管道、辅助蒸汽管道，以及氨区液/气氨管道及液氨改尿素项目中的液/气氨管道和蒸汽管道是否纳入《压力管道基本信息汇总表—工业管道》并实施安全管理。</w:t>
      </w:r>
    </w:p>
    <w:p w14:paraId="080902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压力管道、压力容器的结构、布置、部件是否与设计图纸一致，是否存在私自改动、更换选材的情况。安全阀、压力表等安全附件及仪表是否按照设计要求配置，且在校验、检定有效期内，并保持完好、灵敏、可靠。</w:t>
      </w:r>
    </w:p>
    <w:p w14:paraId="32651C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Style w:val="9"/>
          <w:rFonts w:hint="eastAsia" w:ascii="微软雅黑" w:hAnsi="微软雅黑" w:eastAsia="微软雅黑" w:cs="微软雅黑"/>
          <w:i w:val="0"/>
          <w:iCs w:val="0"/>
          <w:caps w:val="0"/>
          <w:color w:val="333333"/>
          <w:spacing w:val="0"/>
          <w:sz w:val="24"/>
          <w:szCs w:val="24"/>
          <w:bdr w:val="none" w:color="auto" w:sz="0" w:space="0"/>
          <w:shd w:val="clear" w:fill="FFFFFF"/>
        </w:rPr>
        <w:t>四、工作安排</w:t>
      </w:r>
    </w:p>
    <w:p w14:paraId="73546F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（一）自查自纠</w:t>
      </w:r>
    </w:p>
    <w:p w14:paraId="3C5298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热电企业要针对机构及制度管理、设备及人员管理，设备运行和维护等方面开展自查自纠，深入查找本单位特种设备安全存在的问题和隐患，制定自查自纠工作台账，问题隐患实行清单管理，及时落实整改并消除安全隐患，自查自纠中发现严重事故隐患要及时报告当地市场监管部门。</w:t>
      </w:r>
    </w:p>
    <w:p w14:paraId="452AEE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（二）现场检查</w:t>
      </w:r>
    </w:p>
    <w:p w14:paraId="04A854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级市场监管部门要加强工作指导，动态掌握本地区热电企业自查自纠进度，在企业完成自查自纠基础上及时开展监督检查，并重点对“特种设备综合管理系统”中热电企业特种设备数量、参数、使用管理等相关信息进行核实，确保准确、完整。省特检院、特检中心要积极配合当地监管部门开展专项治理工作，做好技术支持和服务保障。</w:t>
      </w:r>
    </w:p>
    <w:p w14:paraId="352F7F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Style w:val="9"/>
          <w:rFonts w:hint="eastAsia" w:ascii="微软雅黑" w:hAnsi="微软雅黑" w:eastAsia="微软雅黑" w:cs="微软雅黑"/>
          <w:i w:val="0"/>
          <w:iCs w:val="0"/>
          <w:caps w:val="0"/>
          <w:color w:val="333333"/>
          <w:spacing w:val="0"/>
          <w:sz w:val="24"/>
          <w:szCs w:val="24"/>
          <w:bdr w:val="none" w:color="auto" w:sz="0" w:space="0"/>
          <w:shd w:val="clear" w:fill="FFFFFF"/>
        </w:rPr>
        <w:t>五、有关要求</w:t>
      </w:r>
    </w:p>
    <w:p w14:paraId="656666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加强组织领导。各地市场监管部门要坚决贯彻落实安全生产治本攻坚三年行动工作要求，认真组织开展热电企业特种设备安全专项治理。要掌握辖区内热电企业底数，细化责任分工，制定工作计划，做到监督检查全覆盖，并建立安全隐患查处、整改、验收的闭环台账，及时研究解决检查过程中发现的突出问题，确保工作取得实效。</w:t>
      </w:r>
    </w:p>
    <w:p w14:paraId="4847B4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加大执法力度。监督检查发现不落实主体责任、自查自纠应发现而未发现问题隐患的热电企业要进行批评教育或警示约谈。对于存在重大违法违规行为的企业单位应当依法查处；存在严重事故隐患的特种设备应当责令立即停止使用，并采取有效措施消除事故隐患。对于拒不整改、一时难以整改或者久拖不改的要及时报送当地政府或者上级市场监管部门协调解决。</w:t>
      </w:r>
    </w:p>
    <w:p w14:paraId="3262E4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（三）及时报送信息。省局将热电企业特种设备安全专项治理工作列入安全生产目标管理年度考核。请各市局于11月30日前将《热电企业特种设备安全专项监督检查情况表》（见附件）报至省局特种设备局。</w:t>
      </w:r>
    </w:p>
    <w:p w14:paraId="5A6356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rPr>
          <w:rFonts w:hint="eastAsia" w:ascii="微软雅黑" w:hAnsi="微软雅黑" w:eastAsia="微软雅黑" w:cs="微软雅黑"/>
          <w:sz w:val="24"/>
          <w:szCs w:val="24"/>
        </w:rPr>
      </w:pPr>
    </w:p>
    <w:p w14:paraId="076F7B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0066CC"/>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24"/>
          <w:szCs w:val="24"/>
          <w:u w:val="single"/>
          <w:bdr w:val="none" w:color="auto" w:sz="0" w:space="0"/>
          <w:shd w:val="clear" w:fill="FFFFFF"/>
        </w:rPr>
        <w:instrText xml:space="preserve"> HYPERLINK "http://scjg.hebei.gov.cn/uploads/1/file/public/202409/20240909144057_voqtso2xxm.doc" \o "热电企业特种设备安全专项监督检查情况表.doc" </w:instrText>
      </w:r>
      <w:r>
        <w:rPr>
          <w:rFonts w:hint="eastAsia" w:ascii="微软雅黑" w:hAnsi="微软雅黑" w:eastAsia="微软雅黑" w:cs="微软雅黑"/>
          <w:i w:val="0"/>
          <w:iCs w:val="0"/>
          <w:caps w:val="0"/>
          <w:color w:val="0066CC"/>
          <w:spacing w:val="0"/>
          <w:sz w:val="24"/>
          <w:szCs w:val="24"/>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24"/>
          <w:szCs w:val="24"/>
          <w:u w:val="single"/>
          <w:bdr w:val="none" w:color="auto" w:sz="0" w:space="0"/>
          <w:shd w:val="clear" w:fill="FFFFFF"/>
        </w:rPr>
        <w:t>热电企业特种设备安全专项监督检查情况表</w:t>
      </w:r>
      <w:r>
        <w:rPr>
          <w:rFonts w:hint="eastAsia" w:ascii="微软雅黑" w:hAnsi="微软雅黑" w:eastAsia="微软雅黑" w:cs="微软雅黑"/>
          <w:i w:val="0"/>
          <w:iCs w:val="0"/>
          <w:caps w:val="0"/>
          <w:color w:val="0066CC"/>
          <w:spacing w:val="0"/>
          <w:sz w:val="24"/>
          <w:szCs w:val="24"/>
          <w:u w:val="single"/>
          <w:bdr w:val="none" w:color="auto" w:sz="0" w:space="0"/>
          <w:shd w:val="clear" w:fill="FFFFFF"/>
        </w:rPr>
        <w:fldChar w:fldCharType="end"/>
      </w:r>
    </w:p>
    <w:p w14:paraId="378D12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rPr>
          <w:rFonts w:hint="eastAsia" w:ascii="微软雅黑" w:hAnsi="微软雅黑" w:eastAsia="微软雅黑" w:cs="微软雅黑"/>
          <w:sz w:val="24"/>
          <w:szCs w:val="24"/>
        </w:rPr>
      </w:pPr>
    </w:p>
    <w:p w14:paraId="4AE58A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河北省市场监督管理局</w:t>
      </w:r>
    </w:p>
    <w:p w14:paraId="043C04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2024年9月4日     </w:t>
      </w:r>
    </w:p>
    <w:p w14:paraId="3E34B697">
      <w:pPr>
        <w:sectPr>
          <w:pgSz w:w="16838" w:h="11906" w:orient="landscape"/>
          <w:pgMar w:top="1800" w:right="1440" w:bottom="1800" w:left="1440" w:header="851" w:footer="992" w:gutter="0"/>
          <w:cols w:space="425" w:num="1"/>
          <w:docGrid w:type="lines" w:linePitch="312" w:charSpace="0"/>
        </w:sectPr>
      </w:pPr>
    </w:p>
    <w:p w14:paraId="08D01BB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14:paraId="1BF3F6DF">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_GBK" w:hAnsi="方正小标宋_GBK" w:eastAsia="方正小标宋_GBK" w:cs="方正小标宋_GBK"/>
          <w:color w:val="auto"/>
          <w:sz w:val="44"/>
          <w:szCs w:val="44"/>
        </w:rPr>
      </w:pPr>
      <w:r>
        <w:rPr>
          <w:rFonts w:hint="eastAsia" w:ascii="黑体" w:hAnsi="仿宋" w:eastAsia="黑体"/>
          <w:sz w:val="32"/>
          <w:szCs w:val="32"/>
        </w:rPr>
        <w:tab/>
      </w:r>
      <w:bookmarkStart w:id="0" w:name="FUJIAN0"/>
      <w:bookmarkEnd w:id="0"/>
      <w:r>
        <w:rPr>
          <w:rFonts w:hint="eastAsia" w:ascii="方正小标宋简体" w:hAnsi="方正小标宋简体" w:eastAsia="方正小标宋简体" w:cs="方正小标宋简体"/>
          <w:color w:val="auto"/>
          <w:sz w:val="44"/>
          <w:szCs w:val="44"/>
          <w:lang w:eastAsia="zh-CN"/>
        </w:rPr>
        <w:t>热电企业特种设备</w:t>
      </w:r>
      <w:r>
        <w:rPr>
          <w:rFonts w:hint="eastAsia" w:ascii="方正小标宋简体" w:hAnsi="方正小标宋简体" w:eastAsia="方正小标宋简体" w:cs="方正小标宋简体"/>
          <w:color w:val="auto"/>
          <w:sz w:val="44"/>
          <w:szCs w:val="44"/>
        </w:rPr>
        <w:t>安全专项</w:t>
      </w:r>
      <w:r>
        <w:rPr>
          <w:rFonts w:hint="eastAsia" w:ascii="方正小标宋简体" w:hAnsi="方正小标宋简体" w:eastAsia="方正小标宋简体" w:cs="方正小标宋简体"/>
          <w:color w:val="auto"/>
          <w:sz w:val="44"/>
          <w:szCs w:val="44"/>
          <w:lang w:eastAsia="zh-CN"/>
        </w:rPr>
        <w:t>监督检查情况</w:t>
      </w:r>
      <w:r>
        <w:rPr>
          <w:rFonts w:hint="eastAsia" w:ascii="方正小标宋简体" w:hAnsi="方正小标宋简体" w:eastAsia="方正小标宋简体" w:cs="方正小标宋简体"/>
          <w:color w:val="auto"/>
          <w:sz w:val="44"/>
          <w:szCs w:val="44"/>
        </w:rPr>
        <w:t>表</w:t>
      </w:r>
    </w:p>
    <w:p w14:paraId="3D5D17FF">
      <w:pPr>
        <w:rPr>
          <w:rFonts w:hint="eastAsia" w:ascii="Times New Roman" w:hAnsi="Times New Roman" w:eastAsia="楷体_GB2312"/>
          <w:color w:val="auto"/>
          <w:sz w:val="28"/>
        </w:rPr>
      </w:pPr>
    </w:p>
    <w:p w14:paraId="15E6A074">
      <w:pPr>
        <w:rPr>
          <w:rFonts w:ascii="Times New Roman" w:hAnsi="Times New Roman" w:eastAsia="楷体_GB2312"/>
          <w:color w:val="auto"/>
          <w:sz w:val="28"/>
        </w:rPr>
      </w:pPr>
      <w:r>
        <w:rPr>
          <w:rFonts w:hint="eastAsia" w:ascii="Times New Roman" w:hAnsi="Times New Roman" w:eastAsia="楷体_GB2312"/>
          <w:color w:val="auto"/>
          <w:sz w:val="28"/>
        </w:rPr>
        <w:t>填报单位：                                   填报日期：</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
        <w:gridCol w:w="1060"/>
        <w:gridCol w:w="1068"/>
        <w:gridCol w:w="1116"/>
        <w:gridCol w:w="1070"/>
        <w:gridCol w:w="1022"/>
        <w:gridCol w:w="1078"/>
        <w:gridCol w:w="975"/>
        <w:gridCol w:w="1088"/>
        <w:gridCol w:w="722"/>
        <w:gridCol w:w="975"/>
        <w:gridCol w:w="900"/>
        <w:gridCol w:w="863"/>
        <w:gridCol w:w="974"/>
      </w:tblGrid>
      <w:tr w14:paraId="59BE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88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350F5C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eastAsia="zh-CN"/>
              </w:rPr>
            </w:pPr>
            <w:r>
              <w:rPr>
                <w:rFonts w:hint="eastAsia" w:ascii="黑体" w:hAnsi="黑体" w:eastAsia="黑体" w:cs="黑体"/>
                <w:bCs/>
                <w:color w:val="auto"/>
                <w:kern w:val="0"/>
                <w:sz w:val="21"/>
                <w:szCs w:val="21"/>
                <w:lang w:eastAsia="zh-CN"/>
              </w:rPr>
              <w:t>市</w:t>
            </w:r>
          </w:p>
        </w:tc>
        <w:tc>
          <w:tcPr>
            <w:tcW w:w="1060" w:type="dxa"/>
            <w:vMerge w:val="restart"/>
            <w:tcBorders>
              <w:top w:val="single" w:color="000000" w:sz="4" w:space="0"/>
              <w:left w:val="single" w:color="auto" w:sz="4" w:space="0"/>
              <w:right w:val="single" w:color="auto" w:sz="4" w:space="0"/>
            </w:tcBorders>
            <w:noWrap w:val="0"/>
            <w:tcMar>
              <w:top w:w="12" w:type="dxa"/>
              <w:left w:w="12" w:type="dxa"/>
              <w:right w:w="12" w:type="dxa"/>
            </w:tcMar>
            <w:vAlign w:val="center"/>
          </w:tcPr>
          <w:p w14:paraId="09C5AF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eastAsia="zh-CN"/>
              </w:rPr>
            </w:pPr>
            <w:r>
              <w:rPr>
                <w:rFonts w:hint="eastAsia" w:ascii="黑体" w:hAnsi="黑体" w:eastAsia="黑体" w:cs="黑体"/>
                <w:bCs/>
                <w:color w:val="auto"/>
                <w:kern w:val="0"/>
                <w:sz w:val="21"/>
                <w:szCs w:val="21"/>
                <w:lang w:eastAsia="zh-CN"/>
              </w:rPr>
              <w:t>辖区热电企业数</w:t>
            </w:r>
          </w:p>
          <w:p w14:paraId="6FC5A7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eastAsia="zh-CN"/>
              </w:rPr>
            </w:pPr>
            <w:r>
              <w:rPr>
                <w:rFonts w:hint="eastAsia" w:ascii="黑体" w:hAnsi="黑体" w:eastAsia="黑体" w:cs="黑体"/>
                <w:bCs/>
                <w:color w:val="auto"/>
                <w:kern w:val="0"/>
                <w:sz w:val="21"/>
                <w:szCs w:val="21"/>
              </w:rPr>
              <w:t>（家）</w:t>
            </w:r>
          </w:p>
        </w:tc>
        <w:tc>
          <w:tcPr>
            <w:tcW w:w="1068" w:type="dxa"/>
            <w:vMerge w:val="restart"/>
            <w:tcBorders>
              <w:top w:val="single" w:color="000000" w:sz="4" w:space="0"/>
              <w:left w:val="single" w:color="auto" w:sz="4" w:space="0"/>
              <w:right w:val="nil"/>
            </w:tcBorders>
            <w:noWrap w:val="0"/>
            <w:tcMar>
              <w:top w:w="12" w:type="dxa"/>
              <w:left w:w="12" w:type="dxa"/>
              <w:right w:w="12" w:type="dxa"/>
            </w:tcMar>
            <w:vAlign w:val="center"/>
          </w:tcPr>
          <w:p w14:paraId="2F36A2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eastAsia="zh-CN"/>
              </w:rPr>
            </w:pPr>
            <w:r>
              <w:rPr>
                <w:rFonts w:hint="eastAsia" w:ascii="黑体" w:hAnsi="黑体" w:eastAsia="黑体" w:cs="黑体"/>
                <w:bCs/>
                <w:color w:val="auto"/>
                <w:kern w:val="0"/>
                <w:sz w:val="21"/>
                <w:szCs w:val="21"/>
                <w:lang w:eastAsia="zh-CN"/>
              </w:rPr>
              <w:t>开展检查企业家数</w:t>
            </w:r>
          </w:p>
          <w:p w14:paraId="2DB279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eastAsia="zh-CN"/>
              </w:rPr>
            </w:pPr>
            <w:r>
              <w:rPr>
                <w:rFonts w:hint="eastAsia" w:ascii="黑体" w:hAnsi="黑体" w:eastAsia="黑体" w:cs="黑体"/>
                <w:bCs/>
                <w:color w:val="auto"/>
                <w:kern w:val="0"/>
                <w:sz w:val="21"/>
                <w:szCs w:val="21"/>
              </w:rPr>
              <w:t>（家）</w:t>
            </w:r>
          </w:p>
        </w:tc>
        <w:tc>
          <w:tcPr>
            <w:tcW w:w="1116"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63FDC3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抽查</w:t>
            </w:r>
            <w:r>
              <w:rPr>
                <w:rFonts w:hint="eastAsia" w:ascii="黑体" w:hAnsi="黑体" w:eastAsia="黑体" w:cs="黑体"/>
                <w:bCs/>
                <w:color w:val="auto"/>
                <w:kern w:val="0"/>
                <w:sz w:val="21"/>
                <w:szCs w:val="21"/>
                <w:lang w:eastAsia="zh-CN"/>
              </w:rPr>
              <w:t>特种设备数</w:t>
            </w:r>
          </w:p>
          <w:p w14:paraId="59C673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val="en-US" w:eastAsia="zh-CN" w:bidi="ar-SA"/>
              </w:rPr>
            </w:pPr>
            <w:r>
              <w:rPr>
                <w:rFonts w:hint="eastAsia" w:ascii="黑体" w:hAnsi="黑体" w:eastAsia="黑体" w:cs="黑体"/>
                <w:bCs/>
                <w:color w:val="auto"/>
                <w:kern w:val="0"/>
                <w:sz w:val="21"/>
                <w:szCs w:val="21"/>
              </w:rPr>
              <w:t>（</w:t>
            </w:r>
            <w:r>
              <w:rPr>
                <w:rFonts w:hint="eastAsia" w:ascii="黑体" w:hAnsi="黑体" w:eastAsia="黑体" w:cs="黑体"/>
                <w:bCs/>
                <w:color w:val="auto"/>
                <w:kern w:val="0"/>
                <w:sz w:val="21"/>
                <w:szCs w:val="21"/>
                <w:lang w:eastAsia="zh-CN"/>
              </w:rPr>
              <w:t>台</w:t>
            </w:r>
            <w:r>
              <w:rPr>
                <w:rFonts w:hint="eastAsia" w:ascii="黑体" w:hAnsi="黑体" w:eastAsia="黑体" w:cs="黑体"/>
                <w:bCs/>
                <w:color w:val="auto"/>
                <w:kern w:val="0"/>
                <w:sz w:val="21"/>
                <w:szCs w:val="21"/>
                <w:lang w:val="en-US" w:eastAsia="zh-CN"/>
              </w:rPr>
              <w:t>/</w:t>
            </w:r>
            <w:r>
              <w:rPr>
                <w:rFonts w:hint="eastAsia" w:ascii="黑体" w:hAnsi="黑体" w:eastAsia="黑体" w:cs="黑体"/>
                <w:bCs/>
                <w:color w:val="auto"/>
                <w:kern w:val="0"/>
                <w:sz w:val="21"/>
                <w:szCs w:val="21"/>
              </w:rPr>
              <w:t>米）</w:t>
            </w:r>
          </w:p>
        </w:tc>
        <w:tc>
          <w:tcPr>
            <w:tcW w:w="4145" w:type="dxa"/>
            <w:gridSpan w:val="4"/>
            <w:tcBorders>
              <w:top w:val="single" w:color="000000" w:sz="4" w:space="0"/>
              <w:left w:val="single" w:color="000000" w:sz="4" w:space="0"/>
              <w:right w:val="nil"/>
            </w:tcBorders>
            <w:noWrap w:val="0"/>
            <w:tcMar>
              <w:top w:w="12" w:type="dxa"/>
              <w:left w:w="12" w:type="dxa"/>
              <w:right w:w="12" w:type="dxa"/>
            </w:tcMar>
            <w:vAlign w:val="center"/>
          </w:tcPr>
          <w:p w14:paraId="30DAB5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发现问题隐患数</w:t>
            </w:r>
          </w:p>
        </w:tc>
        <w:tc>
          <w:tcPr>
            <w:tcW w:w="1088" w:type="dxa"/>
            <w:vMerge w:val="restart"/>
            <w:tcBorders>
              <w:top w:val="single" w:color="000000" w:sz="4" w:space="0"/>
              <w:left w:val="single" w:color="000000" w:sz="4" w:space="0"/>
              <w:right w:val="single" w:color="000000" w:sz="4" w:space="0"/>
            </w:tcBorders>
            <w:noWrap w:val="0"/>
            <w:vAlign w:val="center"/>
          </w:tcPr>
          <w:p w14:paraId="1EC4B1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发出特种设备安全监察指令书</w:t>
            </w:r>
          </w:p>
          <w:p w14:paraId="1C0774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（件）</w:t>
            </w:r>
          </w:p>
        </w:tc>
        <w:tc>
          <w:tcPr>
            <w:tcW w:w="722" w:type="dxa"/>
            <w:vMerge w:val="restart"/>
            <w:tcBorders>
              <w:top w:val="single" w:color="000000" w:sz="4" w:space="0"/>
              <w:left w:val="single" w:color="000000" w:sz="4" w:space="0"/>
              <w:right w:val="single" w:color="000000" w:sz="4" w:space="0"/>
            </w:tcBorders>
            <w:noWrap w:val="0"/>
            <w:vAlign w:val="center"/>
          </w:tcPr>
          <w:p w14:paraId="1FA131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立案调查</w:t>
            </w:r>
          </w:p>
          <w:p w14:paraId="078DE9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（件）</w:t>
            </w:r>
          </w:p>
        </w:tc>
        <w:tc>
          <w:tcPr>
            <w:tcW w:w="975" w:type="dxa"/>
            <w:vMerge w:val="restart"/>
            <w:tcBorders>
              <w:top w:val="single" w:color="000000" w:sz="4" w:space="0"/>
              <w:left w:val="single" w:color="000000" w:sz="4" w:space="0"/>
              <w:right w:val="single" w:color="000000" w:sz="4" w:space="0"/>
            </w:tcBorders>
            <w:noWrap w:val="0"/>
            <w:vAlign w:val="center"/>
          </w:tcPr>
          <w:p w14:paraId="47F691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经济处罚</w:t>
            </w:r>
          </w:p>
          <w:p w14:paraId="737359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（元）</w:t>
            </w:r>
          </w:p>
        </w:tc>
        <w:tc>
          <w:tcPr>
            <w:tcW w:w="90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02AC75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责令停用</w:t>
            </w:r>
            <w:r>
              <w:rPr>
                <w:rFonts w:hint="eastAsia" w:ascii="黑体" w:hAnsi="黑体" w:eastAsia="黑体" w:cs="黑体"/>
                <w:bCs/>
                <w:color w:val="auto"/>
                <w:kern w:val="0"/>
                <w:sz w:val="21"/>
                <w:szCs w:val="21"/>
                <w:lang w:eastAsia="zh-CN"/>
              </w:rPr>
              <w:t>特种设备</w:t>
            </w:r>
            <w:r>
              <w:rPr>
                <w:rFonts w:hint="eastAsia" w:ascii="黑体" w:hAnsi="黑体" w:eastAsia="黑体"/>
                <w:bCs/>
                <w:color w:val="auto"/>
                <w:kern w:val="0"/>
                <w:sz w:val="21"/>
                <w:szCs w:val="21"/>
                <w:lang w:eastAsia="zh-CN"/>
              </w:rPr>
              <w:t>数</w:t>
            </w:r>
          </w:p>
          <w:p w14:paraId="2D9FAD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w:t>
            </w:r>
            <w:r>
              <w:rPr>
                <w:rFonts w:hint="eastAsia" w:ascii="黑体" w:hAnsi="黑体" w:eastAsia="黑体" w:cs="黑体"/>
                <w:bCs/>
                <w:color w:val="auto"/>
                <w:kern w:val="0"/>
                <w:sz w:val="21"/>
                <w:szCs w:val="21"/>
                <w:lang w:eastAsia="zh-CN"/>
              </w:rPr>
              <w:t>台</w:t>
            </w:r>
            <w:r>
              <w:rPr>
                <w:rFonts w:hint="eastAsia" w:ascii="黑体" w:hAnsi="黑体" w:eastAsia="黑体" w:cs="黑体"/>
                <w:bCs/>
                <w:color w:val="auto"/>
                <w:kern w:val="0"/>
                <w:sz w:val="21"/>
                <w:szCs w:val="21"/>
                <w:lang w:val="en-US" w:eastAsia="zh-CN"/>
              </w:rPr>
              <w:t>/</w:t>
            </w:r>
            <w:r>
              <w:rPr>
                <w:rFonts w:hint="eastAsia" w:ascii="黑体" w:hAnsi="黑体" w:eastAsia="黑体" w:cs="黑体"/>
                <w:bCs/>
                <w:color w:val="auto"/>
                <w:kern w:val="0"/>
                <w:sz w:val="21"/>
                <w:szCs w:val="21"/>
              </w:rPr>
              <w:t>米）</w:t>
            </w:r>
          </w:p>
        </w:tc>
        <w:tc>
          <w:tcPr>
            <w:tcW w:w="863"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281431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bCs/>
                <w:color w:val="auto"/>
                <w:kern w:val="0"/>
                <w:sz w:val="21"/>
                <w:szCs w:val="21"/>
                <w:lang w:eastAsia="zh-CN"/>
              </w:rPr>
            </w:pPr>
            <w:r>
              <w:rPr>
                <w:rFonts w:hint="eastAsia" w:ascii="黑体" w:hAnsi="黑体" w:eastAsia="黑体"/>
                <w:bCs/>
                <w:color w:val="auto"/>
                <w:kern w:val="0"/>
                <w:sz w:val="21"/>
                <w:szCs w:val="21"/>
                <w:lang w:eastAsia="zh-CN"/>
              </w:rPr>
              <w:t>停产停业整顿企业数</w:t>
            </w:r>
          </w:p>
          <w:p w14:paraId="101287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color w:val="auto"/>
                <w:sz w:val="28"/>
                <w:szCs w:val="22"/>
                <w:lang w:eastAsia="zh-CN"/>
              </w:rPr>
            </w:pPr>
            <w:r>
              <w:rPr>
                <w:rFonts w:hint="eastAsia" w:ascii="黑体" w:hAnsi="黑体" w:eastAsia="黑体" w:cs="黑体"/>
                <w:bCs/>
                <w:color w:val="auto"/>
                <w:kern w:val="0"/>
                <w:sz w:val="21"/>
                <w:szCs w:val="21"/>
                <w:lang w:eastAsia="zh-CN"/>
              </w:rPr>
              <w:t>（家）</w:t>
            </w:r>
          </w:p>
        </w:tc>
        <w:tc>
          <w:tcPr>
            <w:tcW w:w="974" w:type="dxa"/>
            <w:vMerge w:val="restart"/>
            <w:tcBorders>
              <w:top w:val="single" w:color="000000" w:sz="4" w:space="0"/>
              <w:left w:val="single" w:color="000000" w:sz="4" w:space="0"/>
              <w:right w:val="single" w:color="000000" w:sz="4" w:space="0"/>
            </w:tcBorders>
            <w:noWrap w:val="0"/>
            <w:vAlign w:val="center"/>
          </w:tcPr>
          <w:p w14:paraId="280E94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lang w:eastAsia="zh-CN"/>
              </w:rPr>
              <w:t>通报约谈</w:t>
            </w:r>
            <w:r>
              <w:rPr>
                <w:rFonts w:hint="eastAsia" w:ascii="黑体" w:hAnsi="黑体" w:eastAsia="黑体" w:cs="黑体"/>
                <w:bCs/>
                <w:color w:val="auto"/>
                <w:kern w:val="0"/>
                <w:sz w:val="21"/>
                <w:szCs w:val="21"/>
              </w:rPr>
              <w:t>企业</w:t>
            </w:r>
            <w:r>
              <w:rPr>
                <w:rFonts w:hint="eastAsia" w:ascii="黑体" w:hAnsi="黑体" w:eastAsia="黑体"/>
                <w:bCs/>
                <w:color w:val="auto"/>
                <w:kern w:val="0"/>
                <w:sz w:val="21"/>
                <w:szCs w:val="21"/>
                <w:lang w:eastAsia="zh-CN"/>
              </w:rPr>
              <w:t>数</w:t>
            </w:r>
          </w:p>
          <w:p w14:paraId="233C0C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（家）</w:t>
            </w:r>
          </w:p>
        </w:tc>
      </w:tr>
      <w:tr w14:paraId="38EA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3" w:hRule="atLeast"/>
          <w:jc w:val="center"/>
        </w:trPr>
        <w:tc>
          <w:tcPr>
            <w:tcW w:w="884" w:type="dxa"/>
            <w:vMerge w:val="continue"/>
            <w:tcBorders>
              <w:left w:val="single" w:color="000000" w:sz="4" w:space="0"/>
              <w:right w:val="single" w:color="000000" w:sz="4" w:space="0"/>
            </w:tcBorders>
            <w:noWrap w:val="0"/>
            <w:tcMar>
              <w:top w:w="12" w:type="dxa"/>
              <w:left w:w="12" w:type="dxa"/>
              <w:right w:w="12" w:type="dxa"/>
            </w:tcMar>
            <w:vAlign w:val="center"/>
          </w:tcPr>
          <w:p w14:paraId="1AD5AD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2"/>
                <w:szCs w:val="22"/>
              </w:rPr>
            </w:pPr>
          </w:p>
        </w:tc>
        <w:tc>
          <w:tcPr>
            <w:tcW w:w="1060" w:type="dxa"/>
            <w:vMerge w:val="continue"/>
            <w:tcBorders>
              <w:left w:val="single" w:color="auto" w:sz="4" w:space="0"/>
              <w:right w:val="single" w:color="auto" w:sz="4" w:space="0"/>
            </w:tcBorders>
            <w:noWrap w:val="0"/>
            <w:tcMar>
              <w:top w:w="12" w:type="dxa"/>
              <w:left w:w="12" w:type="dxa"/>
              <w:right w:w="12" w:type="dxa"/>
            </w:tcMar>
            <w:vAlign w:val="center"/>
          </w:tcPr>
          <w:p w14:paraId="5EA5AF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eastAsia="zh-CN"/>
              </w:rPr>
            </w:pPr>
          </w:p>
        </w:tc>
        <w:tc>
          <w:tcPr>
            <w:tcW w:w="1068" w:type="dxa"/>
            <w:vMerge w:val="continue"/>
            <w:tcBorders>
              <w:left w:val="single" w:color="auto" w:sz="4" w:space="0"/>
              <w:right w:val="nil"/>
            </w:tcBorders>
            <w:noWrap w:val="0"/>
            <w:tcMar>
              <w:top w:w="12" w:type="dxa"/>
              <w:left w:w="12" w:type="dxa"/>
              <w:right w:w="12" w:type="dxa"/>
            </w:tcMar>
            <w:vAlign w:val="center"/>
          </w:tcPr>
          <w:p w14:paraId="6DE2FD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eastAsia="zh-CN"/>
              </w:rPr>
            </w:pPr>
          </w:p>
        </w:tc>
        <w:tc>
          <w:tcPr>
            <w:tcW w:w="1116" w:type="dxa"/>
            <w:vMerge w:val="continue"/>
            <w:tcBorders>
              <w:left w:val="single" w:color="000000" w:sz="4" w:space="0"/>
              <w:right w:val="single" w:color="000000" w:sz="4" w:space="0"/>
            </w:tcBorders>
            <w:noWrap w:val="0"/>
            <w:tcMar>
              <w:top w:w="12" w:type="dxa"/>
              <w:left w:w="12" w:type="dxa"/>
              <w:right w:w="12" w:type="dxa"/>
            </w:tcMar>
            <w:vAlign w:val="center"/>
          </w:tcPr>
          <w:p w14:paraId="46AE30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val="en-US" w:eastAsia="zh-CN" w:bidi="ar-SA"/>
              </w:rPr>
            </w:pPr>
          </w:p>
        </w:tc>
        <w:tc>
          <w:tcPr>
            <w:tcW w:w="1070" w:type="dxa"/>
            <w:tcBorders>
              <w:top w:val="single" w:color="auto" w:sz="4" w:space="0"/>
              <w:left w:val="single" w:color="000000" w:sz="4" w:space="0"/>
              <w:right w:val="single" w:color="auto" w:sz="4" w:space="0"/>
            </w:tcBorders>
            <w:noWrap w:val="0"/>
            <w:tcMar>
              <w:top w:w="12" w:type="dxa"/>
              <w:left w:w="12" w:type="dxa"/>
              <w:right w:w="12" w:type="dxa"/>
            </w:tcMar>
            <w:vAlign w:val="center"/>
          </w:tcPr>
          <w:p w14:paraId="0BB7FB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lang w:eastAsia="zh-CN"/>
              </w:rPr>
              <w:t>发现一般</w:t>
            </w:r>
            <w:r>
              <w:rPr>
                <w:rFonts w:hint="eastAsia" w:ascii="黑体" w:hAnsi="黑体" w:eastAsia="黑体" w:cs="黑体"/>
                <w:bCs/>
                <w:color w:val="auto"/>
                <w:kern w:val="0"/>
                <w:sz w:val="21"/>
                <w:szCs w:val="21"/>
              </w:rPr>
              <w:t>问题隐患</w:t>
            </w:r>
          </w:p>
          <w:p w14:paraId="7A0929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（个）</w:t>
            </w:r>
          </w:p>
        </w:tc>
        <w:tc>
          <w:tcPr>
            <w:tcW w:w="1022" w:type="dxa"/>
            <w:tcBorders>
              <w:top w:val="single" w:color="auto" w:sz="4" w:space="0"/>
              <w:left w:val="single" w:color="auto" w:sz="4" w:space="0"/>
              <w:right w:val="single" w:color="auto" w:sz="4" w:space="0"/>
            </w:tcBorders>
            <w:noWrap w:val="0"/>
            <w:tcMar>
              <w:top w:w="12" w:type="dxa"/>
              <w:left w:w="12" w:type="dxa"/>
              <w:right w:w="12" w:type="dxa"/>
            </w:tcMar>
            <w:vAlign w:val="center"/>
          </w:tcPr>
          <w:p w14:paraId="26A735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已整改</w:t>
            </w:r>
            <w:r>
              <w:rPr>
                <w:rFonts w:hint="eastAsia" w:ascii="黑体" w:hAnsi="黑体" w:eastAsia="黑体" w:cs="黑体"/>
                <w:bCs/>
                <w:color w:val="auto"/>
                <w:kern w:val="0"/>
                <w:sz w:val="21"/>
                <w:szCs w:val="21"/>
                <w:lang w:eastAsia="zh-CN"/>
              </w:rPr>
              <w:t>一般</w:t>
            </w:r>
            <w:r>
              <w:rPr>
                <w:rFonts w:hint="eastAsia" w:ascii="黑体" w:hAnsi="黑体" w:eastAsia="黑体" w:cs="黑体"/>
                <w:bCs/>
                <w:color w:val="auto"/>
                <w:kern w:val="0"/>
                <w:sz w:val="21"/>
                <w:szCs w:val="21"/>
              </w:rPr>
              <w:t>问题隐患</w:t>
            </w:r>
          </w:p>
          <w:p w14:paraId="0481C2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val="en-US" w:eastAsia="zh-CN" w:bidi="ar-SA"/>
              </w:rPr>
            </w:pPr>
            <w:r>
              <w:rPr>
                <w:rFonts w:hint="eastAsia" w:ascii="黑体" w:hAnsi="黑体" w:eastAsia="黑体" w:cs="黑体"/>
                <w:bCs/>
                <w:color w:val="auto"/>
                <w:kern w:val="0"/>
                <w:sz w:val="21"/>
                <w:szCs w:val="21"/>
              </w:rPr>
              <w:t>（个）</w:t>
            </w:r>
          </w:p>
        </w:tc>
        <w:tc>
          <w:tcPr>
            <w:tcW w:w="1078" w:type="dxa"/>
            <w:tcBorders>
              <w:top w:val="single" w:color="auto" w:sz="4" w:space="0"/>
              <w:left w:val="single" w:color="auto" w:sz="4" w:space="0"/>
              <w:right w:val="single" w:color="auto" w:sz="4" w:space="0"/>
            </w:tcBorders>
            <w:noWrap w:val="0"/>
            <w:tcMar>
              <w:top w:w="12" w:type="dxa"/>
              <w:left w:w="12" w:type="dxa"/>
              <w:right w:w="12" w:type="dxa"/>
            </w:tcMar>
            <w:vAlign w:val="center"/>
          </w:tcPr>
          <w:p w14:paraId="50A307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lang w:eastAsia="zh-CN"/>
              </w:rPr>
              <w:t>发现</w:t>
            </w:r>
            <w:r>
              <w:rPr>
                <w:rFonts w:hint="eastAsia" w:ascii="黑体" w:hAnsi="黑体" w:eastAsia="黑体" w:cs="黑体"/>
                <w:bCs/>
                <w:color w:val="auto"/>
                <w:kern w:val="0"/>
                <w:sz w:val="21"/>
                <w:szCs w:val="21"/>
              </w:rPr>
              <w:t>重大违法行为或严重事故隐患</w:t>
            </w:r>
          </w:p>
          <w:p w14:paraId="6542C3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val="en-US" w:eastAsia="zh-CN" w:bidi="ar-SA"/>
              </w:rPr>
            </w:pPr>
            <w:r>
              <w:rPr>
                <w:rFonts w:hint="eastAsia" w:ascii="黑体" w:hAnsi="黑体" w:eastAsia="黑体" w:cs="黑体"/>
                <w:bCs/>
                <w:color w:val="auto"/>
                <w:kern w:val="0"/>
                <w:sz w:val="21"/>
                <w:szCs w:val="21"/>
              </w:rPr>
              <w:t>（个）</w:t>
            </w:r>
          </w:p>
        </w:tc>
        <w:tc>
          <w:tcPr>
            <w:tcW w:w="975" w:type="dxa"/>
            <w:tcBorders>
              <w:top w:val="single" w:color="auto" w:sz="4" w:space="0"/>
              <w:left w:val="single" w:color="auto" w:sz="4" w:space="0"/>
              <w:right w:val="nil"/>
            </w:tcBorders>
            <w:noWrap w:val="0"/>
            <w:tcMar>
              <w:top w:w="12" w:type="dxa"/>
              <w:left w:w="12" w:type="dxa"/>
              <w:right w:w="12" w:type="dxa"/>
            </w:tcMar>
            <w:vAlign w:val="center"/>
          </w:tcPr>
          <w:p w14:paraId="7A2D9C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已整改重大违法行为或严重事故隐患</w:t>
            </w:r>
          </w:p>
          <w:p w14:paraId="7A6279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1"/>
                <w:szCs w:val="21"/>
                <w:lang w:val="en-US" w:eastAsia="zh-CN" w:bidi="ar-SA"/>
              </w:rPr>
            </w:pPr>
            <w:r>
              <w:rPr>
                <w:rFonts w:hint="eastAsia" w:ascii="黑体" w:hAnsi="黑体" w:eastAsia="黑体" w:cs="黑体"/>
                <w:bCs/>
                <w:color w:val="auto"/>
                <w:kern w:val="0"/>
                <w:sz w:val="21"/>
                <w:szCs w:val="21"/>
              </w:rPr>
              <w:t>（个</w:t>
            </w:r>
            <w:r>
              <w:rPr>
                <w:rFonts w:hint="eastAsia" w:ascii="黑体" w:hAnsi="黑体" w:eastAsia="黑体" w:cs="黑体"/>
                <w:bCs/>
                <w:color w:val="auto"/>
                <w:kern w:val="0"/>
                <w:sz w:val="21"/>
                <w:szCs w:val="21"/>
                <w:lang w:eastAsia="zh-CN"/>
              </w:rPr>
              <w:t>）</w:t>
            </w:r>
          </w:p>
        </w:tc>
        <w:tc>
          <w:tcPr>
            <w:tcW w:w="1088" w:type="dxa"/>
            <w:vMerge w:val="continue"/>
            <w:tcBorders>
              <w:left w:val="single" w:color="000000" w:sz="4" w:space="0"/>
              <w:right w:val="single" w:color="000000" w:sz="4" w:space="0"/>
            </w:tcBorders>
            <w:noWrap w:val="0"/>
            <w:vAlign w:val="center"/>
          </w:tcPr>
          <w:p w14:paraId="2F8835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2"/>
                <w:szCs w:val="22"/>
              </w:rPr>
            </w:pPr>
          </w:p>
        </w:tc>
        <w:tc>
          <w:tcPr>
            <w:tcW w:w="722" w:type="dxa"/>
            <w:vMerge w:val="continue"/>
            <w:tcBorders>
              <w:left w:val="single" w:color="000000" w:sz="4" w:space="0"/>
              <w:right w:val="single" w:color="000000" w:sz="4" w:space="0"/>
            </w:tcBorders>
            <w:noWrap w:val="0"/>
            <w:vAlign w:val="center"/>
          </w:tcPr>
          <w:p w14:paraId="558EB6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2"/>
                <w:szCs w:val="22"/>
              </w:rPr>
            </w:pPr>
          </w:p>
        </w:tc>
        <w:tc>
          <w:tcPr>
            <w:tcW w:w="975" w:type="dxa"/>
            <w:vMerge w:val="continue"/>
            <w:tcBorders>
              <w:left w:val="single" w:color="000000" w:sz="4" w:space="0"/>
              <w:right w:val="single" w:color="000000" w:sz="4" w:space="0"/>
            </w:tcBorders>
            <w:noWrap w:val="0"/>
            <w:vAlign w:val="center"/>
          </w:tcPr>
          <w:p w14:paraId="3424EB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2"/>
                <w:szCs w:val="22"/>
              </w:rPr>
            </w:pPr>
          </w:p>
        </w:tc>
        <w:tc>
          <w:tcPr>
            <w:tcW w:w="900" w:type="dxa"/>
            <w:vMerge w:val="continue"/>
            <w:tcBorders>
              <w:left w:val="single" w:color="000000" w:sz="4" w:space="0"/>
              <w:right w:val="single" w:color="000000" w:sz="4" w:space="0"/>
            </w:tcBorders>
            <w:noWrap w:val="0"/>
            <w:tcMar>
              <w:top w:w="12" w:type="dxa"/>
              <w:left w:w="12" w:type="dxa"/>
              <w:right w:w="12" w:type="dxa"/>
            </w:tcMar>
            <w:vAlign w:val="center"/>
          </w:tcPr>
          <w:p w14:paraId="0AC542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2"/>
                <w:szCs w:val="22"/>
              </w:rPr>
            </w:pPr>
          </w:p>
        </w:tc>
        <w:tc>
          <w:tcPr>
            <w:tcW w:w="863" w:type="dxa"/>
            <w:vMerge w:val="continue"/>
            <w:tcBorders>
              <w:left w:val="single" w:color="000000" w:sz="4" w:space="0"/>
              <w:right w:val="single" w:color="000000" w:sz="4" w:space="0"/>
            </w:tcBorders>
            <w:noWrap w:val="0"/>
            <w:tcMar>
              <w:top w:w="12" w:type="dxa"/>
              <w:left w:w="12" w:type="dxa"/>
              <w:right w:w="12" w:type="dxa"/>
            </w:tcMar>
            <w:vAlign w:val="center"/>
          </w:tcPr>
          <w:p w14:paraId="0134E3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2"/>
                <w:szCs w:val="22"/>
              </w:rPr>
            </w:pPr>
          </w:p>
        </w:tc>
        <w:tc>
          <w:tcPr>
            <w:tcW w:w="974" w:type="dxa"/>
            <w:vMerge w:val="continue"/>
            <w:tcBorders>
              <w:left w:val="single" w:color="000000" w:sz="4" w:space="0"/>
              <w:right w:val="single" w:color="000000" w:sz="4" w:space="0"/>
            </w:tcBorders>
            <w:noWrap w:val="0"/>
            <w:vAlign w:val="center"/>
          </w:tcPr>
          <w:p w14:paraId="72F7F0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黑体" w:hAnsi="黑体" w:eastAsia="黑体" w:cs="黑体"/>
                <w:bCs/>
                <w:color w:val="auto"/>
                <w:kern w:val="0"/>
                <w:sz w:val="22"/>
                <w:szCs w:val="22"/>
              </w:rPr>
            </w:pPr>
          </w:p>
        </w:tc>
      </w:tr>
      <w:tr w14:paraId="47A9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2" w:hRule="atLeast"/>
          <w:jc w:val="center"/>
        </w:trPr>
        <w:tc>
          <w:tcPr>
            <w:tcW w:w="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33A8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kern w:val="0"/>
                <w:sz w:val="21"/>
                <w:szCs w:val="21"/>
                <w:lang w:eastAsia="zh-CN"/>
              </w:rPr>
            </w:pP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0BD3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kern w:val="0"/>
                <w:sz w:val="21"/>
                <w:szCs w:val="21"/>
                <w:lang w:val="en-US" w:eastAsia="zh-CN"/>
              </w:rPr>
            </w:pPr>
          </w:p>
        </w:tc>
        <w:tc>
          <w:tcPr>
            <w:tcW w:w="10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C691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sz w:val="21"/>
                <w:szCs w:val="21"/>
                <w:lang w:val="en-US" w:eastAsia="zh-CN"/>
              </w:rPr>
            </w:pPr>
          </w:p>
        </w:tc>
        <w:tc>
          <w:tcPr>
            <w:tcW w:w="11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8416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kern w:val="0"/>
                <w:sz w:val="21"/>
                <w:szCs w:val="21"/>
              </w:rPr>
            </w:pPr>
          </w:p>
        </w:tc>
        <w:tc>
          <w:tcPr>
            <w:tcW w:w="107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14:paraId="5F4DBF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sz w:val="21"/>
                <w:szCs w:val="21"/>
              </w:rPr>
            </w:pPr>
          </w:p>
        </w:tc>
        <w:tc>
          <w:tcPr>
            <w:tcW w:w="1022"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14:paraId="1306C1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sz w:val="21"/>
                <w:szCs w:val="21"/>
              </w:rPr>
            </w:pPr>
          </w:p>
        </w:tc>
        <w:tc>
          <w:tcPr>
            <w:tcW w:w="107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14:paraId="0129C8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FBFE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sz w:val="21"/>
                <w:szCs w:val="21"/>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6AD9C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kern w:val="0"/>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2290B0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kern w:val="0"/>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13AE2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kern w:val="0"/>
                <w:sz w:val="21"/>
                <w:szCs w:val="21"/>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8EBD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kern w:val="0"/>
                <w:sz w:val="21"/>
                <w:szCs w:val="21"/>
              </w:rPr>
            </w:pPr>
          </w:p>
        </w:tc>
        <w:tc>
          <w:tcPr>
            <w:tcW w:w="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DAB7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kern w:val="0"/>
                <w:sz w:val="21"/>
                <w:szCs w:val="21"/>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6A4E9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Cs/>
                <w:color w:val="auto"/>
                <w:kern w:val="0"/>
                <w:sz w:val="21"/>
                <w:szCs w:val="21"/>
              </w:rPr>
            </w:pPr>
          </w:p>
        </w:tc>
      </w:tr>
    </w:tbl>
    <w:p w14:paraId="633E57AB">
      <w:pPr>
        <w:keepNext w:val="0"/>
        <w:keepLines w:val="0"/>
        <w:pageBreakBefore w:val="0"/>
        <w:widowControl w:val="0"/>
        <w:kinsoku/>
        <w:wordWrap/>
        <w:overflowPunct/>
        <w:topLinePunct w:val="0"/>
        <w:autoSpaceDE/>
        <w:autoSpaceDN/>
        <w:bidi w:val="0"/>
        <w:adjustRightInd/>
        <w:snapToGrid/>
        <w:spacing w:before="134" w:beforeLines="30"/>
        <w:ind w:firstLine="560" w:firstLineChars="200"/>
        <w:textAlignment w:val="auto"/>
        <w:outlineLvl w:val="9"/>
        <w:rPr>
          <w:rFonts w:hint="eastAsia" w:ascii="Times New Roman" w:hAnsi="Times New Roman" w:eastAsia="楷体_GB2312"/>
          <w:color w:val="auto"/>
          <w:sz w:val="28"/>
        </w:rPr>
      </w:pPr>
      <w:r>
        <w:rPr>
          <w:rFonts w:hint="eastAsia" w:ascii="Times New Roman" w:hAnsi="Times New Roman" w:eastAsia="楷体_GB2312"/>
          <w:color w:val="auto"/>
          <w:sz w:val="28"/>
        </w:rPr>
        <w:t>填报人：</w:t>
      </w:r>
      <w:r>
        <w:rPr>
          <w:rFonts w:hint="eastAsia" w:ascii="Times New Roman" w:hAnsi="Times New Roman" w:eastAsia="楷体_GB2312"/>
          <w:color w:val="auto"/>
          <w:sz w:val="28"/>
          <w:lang w:val="en-US" w:eastAsia="zh-CN"/>
        </w:rPr>
        <w:t xml:space="preserve">             </w:t>
      </w:r>
      <w:r>
        <w:rPr>
          <w:rFonts w:hint="eastAsia" w:ascii="Times New Roman" w:hAnsi="Times New Roman" w:eastAsia="楷体_GB2312"/>
          <w:color w:val="auto"/>
          <w:sz w:val="28"/>
        </w:rPr>
        <w:t>联系电话：</w:t>
      </w:r>
    </w:p>
    <w:p w14:paraId="40078EF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15340D-7EFB-41BE-B528-8BBDBA5FE7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embedRegular r:id="rId2" w:fontKey="{90729932-29B4-46DD-A9A8-947BC8BF5EE4}"/>
  </w:font>
  <w:font w:name="仿宋">
    <w:panose1 w:val="02010609060101010101"/>
    <w:charset w:val="86"/>
    <w:family w:val="modern"/>
    <w:pitch w:val="default"/>
    <w:sig w:usb0="800002BF" w:usb1="38CF7CFA" w:usb2="00000016" w:usb3="00000000" w:csb0="00040001" w:csb1="00000000"/>
    <w:embedRegular r:id="rId3" w:fontKey="{9F55D4D5-0562-4A46-ADAF-D28123DF70AE}"/>
  </w:font>
  <w:font w:name="方正小标宋简体">
    <w:panose1 w:val="02000000000000000000"/>
    <w:charset w:val="86"/>
    <w:family w:val="script"/>
    <w:pitch w:val="default"/>
    <w:sig w:usb0="00000001" w:usb1="08000000" w:usb2="00000000" w:usb3="00000000" w:csb0="00040000" w:csb1="00000000"/>
    <w:embedRegular r:id="rId4" w:fontKey="{E24EB6CA-C607-42B4-9F81-63ACBBE743D6}"/>
  </w:font>
  <w:font w:name="楷体_GB2312">
    <w:altName w:val="楷体"/>
    <w:panose1 w:val="02010609030101010101"/>
    <w:charset w:val="86"/>
    <w:family w:val="auto"/>
    <w:pitch w:val="default"/>
    <w:sig w:usb0="00000000" w:usb1="00000000" w:usb2="00000000" w:usb3="00000000" w:csb0="00040000" w:csb1="00000000"/>
    <w:embedRegular r:id="rId5" w:fontKey="{57170D7A-0A2A-4636-9CED-F5736F105ACC}"/>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940037A"/>
    <w:rsid w:val="19400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 Text First Indent1"/>
    <w:basedOn w:val="3"/>
    <w:next w:val="5"/>
    <w:qFormat/>
    <w:uiPriority w:val="0"/>
    <w:pPr>
      <w:spacing w:after="0"/>
      <w:ind w:firstLine="420" w:firstLineChars="100"/>
    </w:pPr>
    <w:rPr>
      <w:rFonts w:hint="eastAsia" w:ascii="仿宋_GB2312" w:hAnsi="Calibri" w:eastAsia="宋体" w:cs="Times New Roman"/>
      <w:sz w:val="21"/>
      <w:szCs w:val="22"/>
    </w:rPr>
  </w:style>
  <w:style w:type="paragraph" w:styleId="3">
    <w:name w:val="Body Text"/>
    <w:basedOn w:val="1"/>
    <w:next w:val="4"/>
    <w:qFormat/>
    <w:uiPriority w:val="0"/>
    <w:pPr>
      <w:spacing w:before="0" w:after="140" w:line="276" w:lineRule="auto"/>
    </w:pPr>
  </w:style>
  <w:style w:type="paragraph" w:styleId="4">
    <w:name w:val="Body Text First Indent"/>
    <w:basedOn w:val="3"/>
    <w:next w:val="3"/>
    <w:qFormat/>
    <w:uiPriority w:val="0"/>
    <w:pPr>
      <w:ind w:firstLine="420" w:firstLineChars="100"/>
    </w:p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2024-09-21T01:25:00Z</dcterms:created>
  <dc:creator>玲俐</dc:creator>
  <cp:lastModifiedBy>玲俐</cp:lastModifiedBy>
  <dcterms:modified xsi:type="dcterms:W3CDTF">2024-09-21T01:27:19Z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58ADDC02E0DC44B5914E21010FE75282_11</vt:lpwstr>
  </property>
</Properties>
</file>