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7299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trPr>
        <w:tc>
          <w:tcPr>
            <w:tcW w:w="0" w:type="auto"/>
            <w:shd w:val="clear"/>
            <w:vAlign w:val="center"/>
          </w:tcPr>
          <w:p w14:paraId="1D7F582F">
            <w:pPr>
              <w:keepNext w:val="0"/>
              <w:keepLines w:val="0"/>
              <w:widowControl/>
              <w:suppressLineNumbers w:val="0"/>
              <w:jc w:val="center"/>
              <w:rPr>
                <w:rFonts w:ascii="微软雅黑" w:hAnsi="微软雅黑" w:eastAsia="微软雅黑" w:cs="微软雅黑"/>
                <w:i w:val="0"/>
                <w:iCs w:val="0"/>
                <w:caps w:val="0"/>
                <w:color w:val="000000"/>
                <w:spacing w:val="0"/>
                <w:sz w:val="27"/>
                <w:szCs w:val="27"/>
              </w:rPr>
            </w:pPr>
            <w:bookmarkStart w:id="0" w:name="_GoBack"/>
            <w:r>
              <w:rPr>
                <w:rStyle w:val="5"/>
                <w:rFonts w:hint="eastAsia" w:ascii="微软雅黑" w:hAnsi="微软雅黑" w:eastAsia="微软雅黑" w:cs="微软雅黑"/>
                <w:i w:val="0"/>
                <w:iCs w:val="0"/>
                <w:caps w:val="0"/>
                <w:color w:val="DE421E"/>
                <w:spacing w:val="0"/>
                <w:kern w:val="0"/>
                <w:sz w:val="33"/>
                <w:szCs w:val="33"/>
                <w:lang w:val="en-US" w:eastAsia="zh-CN" w:bidi="ar"/>
              </w:rPr>
              <w:t>山东省生态环境厅关于印发山东省“两高”建设项目碳排放减量替代办法的通知</w:t>
            </w:r>
            <w:bookmarkEnd w:id="0"/>
            <w:r>
              <w:rPr>
                <w:rStyle w:val="5"/>
                <w:rFonts w:hint="eastAsia" w:ascii="微软雅黑" w:hAnsi="微软雅黑" w:eastAsia="微软雅黑" w:cs="微软雅黑"/>
                <w:i w:val="0"/>
                <w:iCs w:val="0"/>
                <w:caps w:val="0"/>
                <w:color w:val="DE421E"/>
                <w:spacing w:val="0"/>
                <w:kern w:val="0"/>
                <w:sz w:val="33"/>
                <w:szCs w:val="33"/>
                <w:lang w:val="en-US" w:eastAsia="zh-CN" w:bidi="ar"/>
              </w:rPr>
              <w:t>（有效性：现行有效。2024年9月1日起施行，有效期至2029年8月31日）</w:t>
            </w:r>
          </w:p>
        </w:tc>
      </w:tr>
      <w:tr w14:paraId="3467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blCellSpacing w:w="0" w:type="dxa"/>
        </w:trPr>
        <w:tc>
          <w:tcPr>
            <w:tcW w:w="0" w:type="auto"/>
            <w:tcBorders>
              <w:bottom w:val="single" w:color="FF0000" w:sz="12" w:space="0"/>
            </w:tcBorders>
            <w:shd w:val="clear"/>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A41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center"/>
                </w:tcPr>
                <w:p w14:paraId="037F2691">
                  <w:pPr>
                    <w:keepNext w:val="0"/>
                    <w:keepLines w:val="0"/>
                    <w:widowControl/>
                    <w:suppressLineNumbers w:val="0"/>
                    <w:jc w:val="center"/>
                  </w:pPr>
                  <w:r>
                    <w:rPr>
                      <w:rFonts w:ascii="宋体" w:hAnsi="宋体" w:eastAsia="宋体" w:cs="宋体"/>
                      <w:color w:val="333333"/>
                      <w:kern w:val="0"/>
                      <w:sz w:val="18"/>
                      <w:szCs w:val="18"/>
                      <w:lang w:val="en-US" w:eastAsia="zh-CN" w:bidi="ar"/>
                    </w:rPr>
                    <w:t>鲁环发〔2024〕6号</w:t>
                  </w:r>
                </w:p>
              </w:tc>
            </w:tr>
          </w:tbl>
          <w:p w14:paraId="2FABBE53">
            <w:pPr>
              <w:jc w:val="center"/>
              <w:rPr>
                <w:rFonts w:hint="eastAsia" w:ascii="微软雅黑" w:hAnsi="微软雅黑" w:eastAsia="微软雅黑" w:cs="微软雅黑"/>
                <w:i w:val="0"/>
                <w:iCs w:val="0"/>
                <w:caps w:val="0"/>
                <w:color w:val="000000"/>
                <w:spacing w:val="0"/>
                <w:sz w:val="27"/>
                <w:szCs w:val="27"/>
              </w:rPr>
            </w:pPr>
          </w:p>
        </w:tc>
      </w:tr>
      <w:tr w14:paraId="63AD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tbl>
            <w:tblPr>
              <w:tblW w:w="43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43"/>
            </w:tblGrid>
            <w:tr w14:paraId="2B6F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14:paraId="50724300">
                  <w:pPr>
                    <w:pStyle w:val="2"/>
                    <w:keepNext w:val="0"/>
                    <w:keepLines w:val="0"/>
                    <w:widowControl/>
                    <w:suppressLineNumbers w:val="0"/>
                    <w:spacing w:line="600" w:lineRule="atLeast"/>
                    <w:ind w:left="165"/>
                  </w:pPr>
                  <w:r>
                    <w:rPr>
                      <w:rFonts w:hint="default" w:ascii="Times New Roman" w:hAnsi="Times New Roman" w:cs="Times New Roman"/>
                      <w:color w:val="333333"/>
                      <w:spacing w:val="0"/>
                      <w:sz w:val="31"/>
                      <w:szCs w:val="31"/>
                    </w:rPr>
                    <w:t>SDPR</w:t>
                  </w:r>
                  <w:r>
                    <w:rPr>
                      <w:rFonts w:hint="default" w:ascii="Times New Roman" w:hAnsi="Times New Roman" w:eastAsia="仿宋_GB2312" w:cs="Times New Roman"/>
                      <w:color w:val="333333"/>
                      <w:spacing w:val="0"/>
                      <w:sz w:val="31"/>
                      <w:szCs w:val="31"/>
                    </w:rPr>
                    <w:t>-</w:t>
                  </w:r>
                  <w:r>
                    <w:rPr>
                      <w:rFonts w:hint="default" w:ascii="Times New Roman" w:hAnsi="Times New Roman" w:cs="Times New Roman"/>
                      <w:color w:val="333333"/>
                      <w:spacing w:val="0"/>
                      <w:sz w:val="31"/>
                      <w:szCs w:val="31"/>
                    </w:rPr>
                    <w:t>202</w:t>
                  </w:r>
                  <w:r>
                    <w:rPr>
                      <w:rFonts w:hint="default" w:ascii="Times New Roman" w:hAnsi="Times New Roman" w:eastAsia="黑体" w:cs="Times New Roman"/>
                      <w:color w:val="333333"/>
                      <w:spacing w:val="0"/>
                      <w:sz w:val="31"/>
                      <w:szCs w:val="31"/>
                    </w:rPr>
                    <w:t>4</w:t>
                  </w:r>
                  <w:r>
                    <w:rPr>
                      <w:rFonts w:hint="default" w:ascii="Times New Roman" w:hAnsi="Times New Roman" w:eastAsia="仿宋_GB2312" w:cs="Times New Roman"/>
                      <w:color w:val="333333"/>
                      <w:spacing w:val="0"/>
                      <w:sz w:val="31"/>
                      <w:szCs w:val="31"/>
                    </w:rPr>
                    <w:t>-</w:t>
                  </w:r>
                  <w:r>
                    <w:rPr>
                      <w:rFonts w:hint="default" w:ascii="Times New Roman" w:hAnsi="Times New Roman" w:cs="Times New Roman"/>
                      <w:color w:val="333333"/>
                      <w:spacing w:val="0"/>
                      <w:sz w:val="31"/>
                      <w:szCs w:val="31"/>
                    </w:rPr>
                    <w:t>026000</w:t>
                  </w:r>
                  <w:r>
                    <w:rPr>
                      <w:rFonts w:hint="default" w:ascii="Times New Roman" w:hAnsi="Times New Roman" w:eastAsia="黑体" w:cs="Times New Roman"/>
                      <w:color w:val="333333"/>
                      <w:spacing w:val="0"/>
                      <w:sz w:val="31"/>
                      <w:szCs w:val="31"/>
                    </w:rPr>
                    <w:t>4</w:t>
                  </w:r>
                </w:p>
                <w:p w14:paraId="410A2845">
                  <w:pPr>
                    <w:pStyle w:val="2"/>
                    <w:keepNext w:val="0"/>
                    <w:keepLines w:val="0"/>
                    <w:widowControl/>
                    <w:suppressLineNumbers w:val="0"/>
                    <w:spacing w:line="420" w:lineRule="atLeast"/>
                    <w:ind w:left="0" w:firstLine="0"/>
                    <w:jc w:val="both"/>
                    <w:rPr>
                      <w:rFonts w:ascii="仿宋" w:hAnsi="仿宋" w:eastAsia="仿宋" w:cs="仿宋"/>
                      <w:sz w:val="36"/>
                      <w:szCs w:val="36"/>
                    </w:rPr>
                  </w:pPr>
                </w:p>
                <w:p w14:paraId="1DA7A1B6">
                  <w:pPr>
                    <w:pStyle w:val="2"/>
                    <w:keepNext w:val="0"/>
                    <w:keepLines w:val="0"/>
                    <w:widowControl/>
                    <w:suppressLineNumbers w:val="0"/>
                    <w:spacing w:line="420" w:lineRule="atLeast"/>
                    <w:ind w:left="0" w:firstLine="0"/>
                    <w:jc w:val="both"/>
                    <w:rPr>
                      <w:rFonts w:hint="eastAsia" w:ascii="仿宋" w:hAnsi="仿宋" w:eastAsia="仿宋" w:cs="仿宋"/>
                      <w:sz w:val="36"/>
                      <w:szCs w:val="36"/>
                    </w:rPr>
                  </w:pPr>
                  <w:r>
                    <w:rPr>
                      <w:rFonts w:hint="eastAsia" w:ascii="仿宋" w:hAnsi="仿宋" w:eastAsia="仿宋" w:cs="仿宋"/>
                      <w:color w:val="333333"/>
                      <w:sz w:val="36"/>
                      <w:szCs w:val="36"/>
                    </w:rPr>
                    <w:t>各市生态环境局：</w:t>
                  </w:r>
                </w:p>
                <w:p w14:paraId="4A13F05D">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现将《山东省“两高”建设项目碳排放减量替代办法》印发给你们，请认真组织落实。</w:t>
                  </w:r>
                </w:p>
                <w:p w14:paraId="18137065">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p>
                <w:p w14:paraId="4991A3CC">
                  <w:pPr>
                    <w:pStyle w:val="2"/>
                    <w:keepNext w:val="0"/>
                    <w:keepLines w:val="0"/>
                    <w:widowControl/>
                    <w:suppressLineNumbers w:val="0"/>
                    <w:spacing w:line="420" w:lineRule="atLeast"/>
                    <w:ind w:left="0" w:firstLine="420"/>
                    <w:jc w:val="right"/>
                    <w:rPr>
                      <w:rFonts w:hint="eastAsia" w:ascii="仿宋" w:hAnsi="仿宋" w:eastAsia="仿宋" w:cs="仿宋"/>
                      <w:sz w:val="36"/>
                      <w:szCs w:val="36"/>
                    </w:rPr>
                  </w:pPr>
                  <w:r>
                    <w:rPr>
                      <w:rFonts w:hint="eastAsia" w:ascii="仿宋" w:hAnsi="仿宋" w:eastAsia="仿宋" w:cs="仿宋"/>
                      <w:color w:val="333333"/>
                      <w:sz w:val="36"/>
                      <w:szCs w:val="36"/>
                    </w:rPr>
                    <w:t>山东省生态环境厅</w:t>
                  </w:r>
                </w:p>
                <w:p w14:paraId="27D596B1">
                  <w:pPr>
                    <w:pStyle w:val="2"/>
                    <w:keepNext w:val="0"/>
                    <w:keepLines w:val="0"/>
                    <w:widowControl/>
                    <w:suppressLineNumbers w:val="0"/>
                    <w:spacing w:line="420" w:lineRule="atLeast"/>
                    <w:ind w:left="0" w:firstLine="420"/>
                    <w:jc w:val="right"/>
                    <w:rPr>
                      <w:rFonts w:hint="eastAsia" w:ascii="仿宋" w:hAnsi="仿宋" w:eastAsia="仿宋" w:cs="仿宋"/>
                      <w:sz w:val="36"/>
                      <w:szCs w:val="36"/>
                    </w:rPr>
                  </w:pPr>
                  <w:r>
                    <w:rPr>
                      <w:rFonts w:hint="eastAsia" w:ascii="仿宋" w:hAnsi="仿宋" w:eastAsia="仿宋" w:cs="仿宋"/>
                      <w:color w:val="333333"/>
                      <w:sz w:val="36"/>
                      <w:szCs w:val="36"/>
                    </w:rPr>
                    <w:t>2024年7月30日</w:t>
                  </w:r>
                </w:p>
                <w:p w14:paraId="6B87F79D">
                  <w:pPr>
                    <w:pStyle w:val="2"/>
                    <w:keepNext w:val="0"/>
                    <w:keepLines w:val="0"/>
                    <w:widowControl/>
                    <w:suppressLineNumbers w:val="0"/>
                    <w:spacing w:line="420" w:lineRule="atLeast"/>
                    <w:ind w:left="0" w:firstLine="420"/>
                    <w:jc w:val="right"/>
                    <w:rPr>
                      <w:rFonts w:hint="eastAsia" w:ascii="仿宋" w:hAnsi="仿宋" w:eastAsia="仿宋" w:cs="仿宋"/>
                      <w:sz w:val="36"/>
                      <w:szCs w:val="36"/>
                    </w:rPr>
                  </w:pPr>
                  <w:r>
                    <w:rPr>
                      <w:rFonts w:hint="eastAsia" w:ascii="仿宋" w:hAnsi="仿宋" w:eastAsia="仿宋" w:cs="仿宋"/>
                      <w:color w:val="333333"/>
                      <w:sz w:val="36"/>
                      <w:szCs w:val="36"/>
                    </w:rPr>
                    <w:t>（此件公开发布）</w:t>
                  </w:r>
                </w:p>
                <w:p w14:paraId="3937B5EC">
                  <w:pPr>
                    <w:pStyle w:val="2"/>
                    <w:keepNext w:val="0"/>
                    <w:keepLines w:val="0"/>
                    <w:widowControl/>
                    <w:suppressLineNumbers w:val="0"/>
                    <w:spacing w:line="420" w:lineRule="atLeast"/>
                    <w:ind w:left="0" w:firstLine="420"/>
                    <w:jc w:val="right"/>
                    <w:rPr>
                      <w:rFonts w:hint="eastAsia" w:ascii="仿宋" w:hAnsi="仿宋" w:eastAsia="仿宋" w:cs="仿宋"/>
                      <w:sz w:val="36"/>
                      <w:szCs w:val="36"/>
                    </w:rPr>
                  </w:pPr>
                </w:p>
                <w:p w14:paraId="7C3EA3A0">
                  <w:pPr>
                    <w:pStyle w:val="2"/>
                    <w:keepNext w:val="0"/>
                    <w:keepLines w:val="0"/>
                    <w:widowControl/>
                    <w:suppressLineNumbers w:val="0"/>
                    <w:spacing w:line="420" w:lineRule="atLeast"/>
                    <w:ind w:left="0" w:firstLine="0"/>
                    <w:jc w:val="center"/>
                    <w:rPr>
                      <w:rFonts w:hint="eastAsia" w:ascii="仿宋" w:hAnsi="仿宋" w:eastAsia="仿宋" w:cs="仿宋"/>
                      <w:sz w:val="36"/>
                      <w:szCs w:val="36"/>
                    </w:rPr>
                  </w:pPr>
                  <w:r>
                    <w:rPr>
                      <w:rFonts w:hint="eastAsia" w:ascii="仿宋" w:hAnsi="仿宋" w:eastAsia="仿宋" w:cs="仿宋"/>
                      <w:color w:val="333333"/>
                      <w:sz w:val="36"/>
                      <w:szCs w:val="36"/>
                    </w:rPr>
                    <w:t>山东省“两高”建设项目碳排放减量替代办法</w:t>
                  </w:r>
                </w:p>
                <w:p w14:paraId="31473FFF">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第一章  总  则</w:t>
                  </w:r>
                </w:p>
                <w:p w14:paraId="4CC7399A">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第一条  为深入贯彻党中央、国务院关于碳达峰碳中和重大战略决策部署，坚决遏制“两高一低”项目盲目发展，加快推进绿色低碳高质量发展先行区建设，根据《国务院关于支持山东深化新旧动能转换推动绿色低碳高质量发展的意见》（国发〔2022〕18号）和《山东省碳达峰实施方案》（鲁政字〔2022〕242号）等有关规定，制定本办法。</w:t>
                  </w:r>
                </w:p>
                <w:p w14:paraId="587AD09C">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第二条  本办法适用于山东省行政区域内新建（含改扩建和技术改造，不包括不增加产能的环保节能改造、安全设施改造、产品质量提升等技术改造）“两高”项目。“两高”行业范围根据相关要求动态调整。</w:t>
                  </w:r>
                </w:p>
                <w:p w14:paraId="0A536023">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第三条  本办法所称碳排放是指生产经营活动中向外界排放的二氧化碳。</w:t>
                  </w:r>
                </w:p>
                <w:p w14:paraId="0FB5E121">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第四条  新建“两高”项目新增碳排放量须落实碳排放减量替代，制定替代方案，替代系数为1.1。</w:t>
                  </w:r>
                </w:p>
                <w:p w14:paraId="208A1F59">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碳排放替代量计算公式为：Q=E×1.1</w:t>
                  </w:r>
                </w:p>
                <w:p w14:paraId="0C17C4A0">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其中，Q指碳排放替代量，E指新建“两高”项目新增碳排放量。</w:t>
                  </w:r>
                </w:p>
                <w:p w14:paraId="0C32DAFF">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第五条  省级生态环境部门负责全省碳排放减量替代相关工作的组织实施、综合协调和监督管理。设区的市级生态环境部门负责本行政区域内碳排放减量替代相关工作的组织实施。</w:t>
                  </w:r>
                </w:p>
                <w:p w14:paraId="3BC9B2AA">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第二章  替代源和指标管理</w:t>
                  </w:r>
                </w:p>
                <w:p w14:paraId="36F0FB35">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第六条  碳排放替代源包括：</w:t>
                  </w:r>
                </w:p>
                <w:p w14:paraId="4ECF1C46">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（一）企业关停、转产减少的碳排放量；</w:t>
                  </w:r>
                </w:p>
                <w:p w14:paraId="45072691">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（二）淘汰落后产能、压减过剩产能、节能技改减少的碳排放量；</w:t>
                  </w:r>
                </w:p>
                <w:p w14:paraId="14DAC61A">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（三）核能、可再生能源等清洁能源替代化石能源减少的碳排放量；</w:t>
                  </w:r>
                </w:p>
                <w:p w14:paraId="1625A462">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（四）二氧化碳捕集、利用与封存（CCUS）等温室气体减排项目减少的碳排放量；</w:t>
                  </w:r>
                </w:p>
                <w:p w14:paraId="0B431247">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（五）通过其他途径减少的碳排放量。</w:t>
                  </w:r>
                </w:p>
                <w:p w14:paraId="1B2D1361">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第七条  替代源应符合下列要求：</w:t>
                  </w:r>
                </w:p>
                <w:p w14:paraId="595CB35C">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关停、转产、淘汰落后产能、压减过剩产能、节能技改、可再生能源替代化石能源等替代源，原则上为“两高”行业规模以上企业2021年1月1日后形成的碳排放削减量。替代源在公示公告的“两高”行业企业或项目清单，且数据可监测、可统计、可复核、可验证的，可不限于规上企业。</w:t>
                  </w:r>
                </w:p>
                <w:p w14:paraId="2FD476E7">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第八条  替代源形成时间以有关部门出具的关停或投产文件为准；无关停或投产文件的，以排污许可证登记、变更、注销或生态环境部门现场核实情况为准。</w:t>
                  </w:r>
                </w:p>
                <w:p w14:paraId="65F0B9C2">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第九条  碳排放削减量按照替代源形成途径分类核算：</w:t>
                  </w:r>
                </w:p>
                <w:p w14:paraId="7192337E">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（一）企业整体关停或部分拆除的，按照关停或拆除部分的设计产能核算减排量；</w:t>
                  </w:r>
                </w:p>
                <w:p w14:paraId="109A8045">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（二）企业节能技改项目，按照技改前后年度碳排放差值核算减排量；</w:t>
                  </w:r>
                </w:p>
                <w:p w14:paraId="5A501E21">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（三）核能、可再生能源替代化石能源和温室气体减排项目，采用可行性研究报告、环境影响评价文件等核算减排量。</w:t>
                  </w:r>
                </w:p>
                <w:p w14:paraId="3D28950B">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本办法实施前碳排放指标已全部或部分使用的替代源，碳排放指标不再调整；碳排放指标尚未使用的替代源按照以上方法核算碳排放削减量。</w:t>
                  </w:r>
                </w:p>
                <w:p w14:paraId="3EBADF2E">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第十条  煤电行业碳排放指标原则上全部用于新上大型煤电机组和高效背压机组，由设区的市收储后优先统筹用于市域内新上煤电项目，富余部分由省级收储后统筹调配。其他行业指标按照《山东省“两高”建设项目碳排放指标收储调剂管理办法（试行）》（鲁政办字〔2022〕172号）由省、设区的市分别收储。</w:t>
                  </w:r>
                </w:p>
                <w:p w14:paraId="2996A3F2">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第十一条  碳排放指标实行分级管理。省级生态环境部门负责统筹调剂省级收储的碳排放指标，主要支持省重点项目以及关系全省生产力布局、经济社会发展的重点项目建设；设区的市级生态环境部门负责统筹调剂本行政区域内市级收储的碳排放指标。</w:t>
                  </w:r>
                </w:p>
                <w:p w14:paraId="77766572">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第三章  减量替代方案</w:t>
                  </w:r>
                </w:p>
                <w:p w14:paraId="7C7BBC6E">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第十二条  新建“两高”项目建设单位以法人为边界核算项目实施前后碳排放增量，编制碳排放减量替代方案。</w:t>
                  </w:r>
                </w:p>
                <w:p w14:paraId="1C8659D5">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按规定实施搬迁入园或单纯异地搬迁（不含产能整合）未增加产能和碳排放的项目，作为中间产品连续生产发展下游高端化工品的合成氨项目，无需制定替代方案。</w:t>
                  </w:r>
                </w:p>
                <w:p w14:paraId="2BF4CC44">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第十三条  碳排放减量替代方案应包括以下内容：</w:t>
                  </w:r>
                </w:p>
                <w:p w14:paraId="16B661C1">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（一）项目建设单位基本情况；</w:t>
                  </w:r>
                </w:p>
                <w:p w14:paraId="183BA5DD">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（二）项目基本情况，包括所属行业、建设地点、建设规模、建设内容、总投资等；</w:t>
                  </w:r>
                </w:p>
                <w:p w14:paraId="3DFB1848">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（三）项目建设方案及用能情况，包括产品方案、工艺方案、用能设备设施、原辅材料及能源消耗等；</w:t>
                  </w:r>
                </w:p>
                <w:p w14:paraId="30EDF46F">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（四）碳排放情况，包括核算依据、核算边界、因子取值、核算过程等；</w:t>
                  </w:r>
                </w:p>
                <w:p w14:paraId="696847F0">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（五）替代源落实情况，包括替代源来源、落实措施、碳排放削减量核算、完成时间等；</w:t>
                  </w:r>
                </w:p>
                <w:p w14:paraId="399964B1">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（六）结论建议；</w:t>
                  </w:r>
                </w:p>
                <w:p w14:paraId="2C232CE5">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（七）附件，包括替代源汇总表、替代源碳排放削减量核算数据支撑材料、替代源关停或投产文件等。</w:t>
                  </w:r>
                </w:p>
                <w:p w14:paraId="1555CB7C">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第十四条  建设项目碳排放量参照国家、省最新发布的行业标准或技术规范载明的核算方法核算。</w:t>
                  </w:r>
                </w:p>
                <w:p w14:paraId="6C9359E3">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第十五条  建设项目因规模、工艺等调整，造成碳排放量增加的，应当重新编制碳排放减量替代方案，落实新增碳排放量替代源。</w:t>
                  </w:r>
                </w:p>
                <w:p w14:paraId="29D1D532">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第四章  监督管理</w:t>
                  </w:r>
                </w:p>
                <w:p w14:paraId="29EFE02B">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第十六条  碳排放减量替代纳入环境影响评价管理。审批部门在审批建设项目环境影响评价文件时，应当审查建设项目和替代源碳排放量测算是否科学、准确，替代源是否真实、可行。</w:t>
                  </w:r>
                </w:p>
                <w:p w14:paraId="179710EA">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第十七条  建设项目所需的碳排放指标，可从拟实施的替代源削减量中预支，碳排放削减量应当于建设项目投产前全部完成。替代源碳排放削减量未落实的，建设项目不得投产。</w:t>
                  </w:r>
                </w:p>
                <w:p w14:paraId="7EB1F8D2">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第十八条  建设单位应认真组织开展碳排放减量替代方案的编制和核算，并对替代源的真实性负责。</w:t>
                  </w:r>
                </w:p>
                <w:p w14:paraId="3765CC1B">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碳排放减量替代方案相关内容存在重大缺陷、遗漏或者虚假等严重质量问题的，依照有关法律法规处理。</w:t>
                  </w:r>
                </w:p>
                <w:p w14:paraId="65205723">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第十九条  各级生态环境部门应加强对“两高”项目的审核把关和监督管理，建立动态管理台账，并将碳排放减量替代纳入生态环境监管，形成闭环管理。</w:t>
                  </w:r>
                </w:p>
                <w:p w14:paraId="45B67AED">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第五章  附  则</w:t>
                  </w:r>
                </w:p>
                <w:p w14:paraId="18BCC72B">
                  <w:pPr>
                    <w:pStyle w:val="2"/>
                    <w:keepNext w:val="0"/>
                    <w:keepLines w:val="0"/>
                    <w:widowControl/>
                    <w:suppressLineNumbers w:val="0"/>
                    <w:spacing w:line="420" w:lineRule="atLeast"/>
                    <w:ind w:left="0" w:firstLine="420"/>
                    <w:jc w:val="both"/>
                    <w:rPr>
                      <w:rFonts w:hint="eastAsia" w:ascii="仿宋" w:hAnsi="仿宋" w:eastAsia="仿宋" w:cs="仿宋"/>
                      <w:sz w:val="36"/>
                      <w:szCs w:val="36"/>
                    </w:rPr>
                  </w:pPr>
                  <w:r>
                    <w:rPr>
                      <w:rFonts w:hint="eastAsia" w:ascii="仿宋" w:hAnsi="仿宋" w:eastAsia="仿宋" w:cs="仿宋"/>
                      <w:color w:val="333333"/>
                      <w:sz w:val="36"/>
                      <w:szCs w:val="36"/>
                    </w:rPr>
                    <w:t>第二十条  本办法自2024年9月1日起施行，有效期至2029年8月31日。法律、法规、规章另有规定的从其规定。</w:t>
                  </w:r>
                </w:p>
              </w:tc>
            </w:tr>
          </w:tbl>
          <w:p w14:paraId="017B7CDE">
            <w:pPr>
              <w:spacing w:line="420" w:lineRule="atLeast"/>
              <w:ind w:firstLine="420"/>
              <w:jc w:val="both"/>
              <w:rPr>
                <w:rFonts w:hint="eastAsia" w:ascii="微软雅黑" w:hAnsi="微软雅黑" w:eastAsia="微软雅黑" w:cs="微软雅黑"/>
                <w:i w:val="0"/>
                <w:iCs w:val="0"/>
                <w:caps w:val="0"/>
                <w:color w:val="000000"/>
                <w:spacing w:val="0"/>
                <w:sz w:val="27"/>
                <w:szCs w:val="27"/>
              </w:rPr>
            </w:pPr>
          </w:p>
        </w:tc>
      </w:tr>
    </w:tbl>
    <w:p w14:paraId="22AB10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E337316"/>
    <w:rsid w:val="3E33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2024-09-06T02:12:00Z</dcterms:created>
  <dc:creator>玲俐</dc:creator>
  <cp:lastModifiedBy>玲俐</cp:lastModifiedBy>
  <dcterms:modified xsi:type="dcterms:W3CDTF">2024-09-06T02:12:46Z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4686B4A6DA1949749C30F5F9C080BD11_11</vt:lpwstr>
  </property>
</Properties>
</file>