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1E52C">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bookmarkStart w:id="0" w:name="_Toc195438491"/>
    </w:p>
    <w:p w14:paraId="7D3FA4A9">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29CA8698">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685F74DD">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0CD35DDB">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4CDAAB07">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2AB728FD">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614B83BC">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12D0D064">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0B9754A9">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aps/>
          <w:color w:val="000000"/>
          <w:kern w:val="0"/>
          <w:sz w:val="56"/>
          <w:szCs w:val="56"/>
          <w:lang w:val="en-US" w:eastAsia="zh-CN" w:bidi="zh-CN"/>
        </w:rPr>
      </w:pPr>
    </w:p>
    <w:p w14:paraId="6E435A48">
      <w:pPr>
        <w:keepNext w:val="0"/>
        <w:keepLines w:val="0"/>
        <w:pageBreakBefore w:val="0"/>
        <w:tabs>
          <w:tab w:val="right" w:leader="dot" w:pos="8303"/>
        </w:tabs>
        <w:kinsoku/>
        <w:wordWrap/>
        <w:overflowPunct/>
        <w:topLinePunct w:val="0"/>
        <w:autoSpaceDE/>
        <w:autoSpaceDN/>
        <w:bidi w:val="0"/>
        <w:adjustRightInd/>
        <w:spacing w:line="560" w:lineRule="exact"/>
        <w:jc w:val="center"/>
        <w:textAlignment w:val="auto"/>
        <w:rPr>
          <w:rFonts w:hint="eastAsia" w:ascii="仿宋_GB2312" w:hAnsi="仿宋_GB2312" w:eastAsia="仿宋_GB2312" w:cs="仿宋_GB2312"/>
          <w:b/>
          <w:bCs/>
          <w:color w:val="auto"/>
          <w:sz w:val="24"/>
          <w:szCs w:val="24"/>
          <w:lang w:val="en-US"/>
        </w:rPr>
        <w:sectPr>
          <w:headerReference r:id="rId3" w:type="default"/>
          <w:pgSz w:w="11906" w:h="16838"/>
          <w:pgMar w:top="1440" w:right="1800" w:bottom="1440" w:left="1800" w:header="1417"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仿宋_GB2312" w:hAnsi="仿宋_GB2312" w:eastAsia="仿宋_GB2312" w:cs="仿宋_GB2312"/>
          <w:b/>
          <w:bCs/>
          <w:caps/>
          <w:color w:val="000000"/>
          <w:kern w:val="0"/>
          <w:sz w:val="48"/>
          <w:szCs w:val="48"/>
          <w:lang w:val="en-US" w:eastAsia="zh-CN" w:bidi="zh-CN"/>
        </w:rPr>
        <w:drawing>
          <wp:anchor distT="0" distB="0" distL="114300" distR="114300" simplePos="0" relativeHeight="251667456" behindDoc="0" locked="0" layoutInCell="1" allowOverlap="1">
            <wp:simplePos x="0" y="0"/>
            <wp:positionH relativeFrom="column">
              <wp:posOffset>266065</wp:posOffset>
            </wp:positionH>
            <wp:positionV relativeFrom="paragraph">
              <wp:posOffset>1844040</wp:posOffset>
            </wp:positionV>
            <wp:extent cx="4572000" cy="2971800"/>
            <wp:effectExtent l="0" t="0" r="0" b="0"/>
            <wp:wrapSquare wrapText="bothSides"/>
            <wp:docPr id="3" name="图片 328" descr="图标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8" descr="图标学习"/>
                    <pic:cNvPicPr>
                      <a:picLocks noChangeAspect="1"/>
                    </pic:cNvPicPr>
                  </pic:nvPicPr>
                  <pic:blipFill>
                    <a:blip r:embed="rId8"/>
                    <a:stretch>
                      <a:fillRect/>
                    </a:stretch>
                  </pic:blipFill>
                  <pic:spPr>
                    <a:xfrm>
                      <a:off x="0" y="0"/>
                      <a:ext cx="4572000" cy="2971800"/>
                    </a:xfrm>
                    <a:prstGeom prst="rect">
                      <a:avLst/>
                    </a:prstGeom>
                    <a:noFill/>
                    <a:ln>
                      <a:noFill/>
                    </a:ln>
                    <a:effectLst>
                      <a:innerShdw blurRad="63500" dist="50800" dir="13500000">
                        <a:prstClr val="black">
                          <a:alpha val="50000"/>
                        </a:prstClr>
                      </a:innerShdw>
                    </a:effectLst>
                  </pic:spPr>
                </pic:pic>
              </a:graphicData>
            </a:graphic>
          </wp:anchor>
        </w:drawing>
      </w:r>
      <w:r>
        <w:rPr>
          <w:rFonts w:hint="eastAsia" w:ascii="仿宋_GB2312" w:hAnsi="仿宋_GB2312" w:eastAsia="仿宋_GB2312" w:cs="仿宋_GB2312"/>
          <w:b/>
          <w:bCs/>
          <w:caps/>
          <w:color w:val="000000"/>
          <w:kern w:val="0"/>
          <w:sz w:val="48"/>
          <w:szCs w:val="48"/>
          <w:lang w:val="en-US" w:eastAsia="zh-CN" w:bidi="zh-CN"/>
        </w:rPr>
        <w:t>2024年度风险分级管控体系实施指南</w:t>
      </w:r>
    </w:p>
    <w:p w14:paraId="738FB531">
      <w:pPr>
        <w:widowControl/>
        <w:jc w:val="right"/>
        <w:rPr>
          <w:rFonts w:hint="eastAsia" w:ascii="仿宋_GB2312" w:hAnsi="仿宋_GB2312" w:eastAsia="仿宋_GB2312" w:cs="仿宋_GB2312"/>
          <w:sz w:val="52"/>
          <w:szCs w:val="52"/>
        </w:rPr>
      </w:pPr>
    </w:p>
    <w:p w14:paraId="7AA69BD0">
      <w:pPr>
        <w:widowControl/>
        <w:jc w:val="center"/>
        <w:rPr>
          <w:rFonts w:hint="eastAsia" w:ascii="仿宋_GB2312" w:hAnsi="仿宋_GB2312" w:eastAsia="仿宋_GB2312" w:cs="仿宋_GB2312"/>
          <w:color w:val="000000"/>
          <w:spacing w:val="-12"/>
          <w:szCs w:val="21"/>
          <w:lang w:eastAsia="zh-CN"/>
        </w:rPr>
      </w:pPr>
      <w:bookmarkStart w:id="89" w:name="_GoBack"/>
      <w:bookmarkEnd w:id="89"/>
      <w:r>
        <w:rPr>
          <w:rFonts w:hint="eastAsia" w:ascii="仿宋_GB2312" w:hAnsi="仿宋_GB2312" w:eastAsia="仿宋_GB2312" w:cs="仿宋_GB2312"/>
          <w:color w:val="000000"/>
          <w:spacing w:val="-12"/>
          <w:sz w:val="52"/>
          <w:szCs w:val="52"/>
          <w:lang w:eastAsia="zh-CN"/>
        </w:rPr>
        <w:t>（集团）股份有限公司</w:t>
      </w:r>
    </w:p>
    <w:p w14:paraId="2BB9AFBC">
      <w:pPr>
        <w:widowControl/>
        <w:tabs>
          <w:tab w:val="left" w:pos="8820"/>
          <w:tab w:val="left" w:pos="9072"/>
        </w:tabs>
        <w:adjustRightInd w:val="0"/>
        <w:snapToGrid w:val="0"/>
        <w:ind w:right="23" w:rightChars="11"/>
        <w:jc w:val="center"/>
        <w:rPr>
          <w:rFonts w:hint="eastAsia" w:ascii="仿宋_GB2312" w:hAnsi="仿宋_GB2312" w:eastAsia="仿宋_GB2312" w:cs="仿宋_GB2312"/>
          <w:sz w:val="28"/>
          <w:szCs w:val="28"/>
        </w:rPr>
      </w:pPr>
    </w:p>
    <w:p w14:paraId="41B186BA">
      <w:pPr>
        <w:widowControl/>
        <w:tabs>
          <w:tab w:val="left" w:pos="8820"/>
          <w:tab w:val="left" w:pos="9072"/>
        </w:tabs>
        <w:adjustRightInd w:val="0"/>
        <w:snapToGrid w:val="0"/>
        <w:ind w:left="-2" w:right="23" w:rightChars="11" w:hanging="17"/>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编号： </w:t>
      </w:r>
    </w:p>
    <w:p w14:paraId="6D37E28D">
      <w:pPr>
        <w:widowControl/>
        <w:adjustRightInd w:val="0"/>
        <w:snapToGrid w:val="0"/>
        <w:rPr>
          <w:rFonts w:hint="eastAsia" w:ascii="仿宋_GB2312" w:hAnsi="仿宋_GB2312" w:eastAsia="仿宋_GB2312" w:cs="仿宋_GB2312"/>
          <w:w w:val="90"/>
          <w:sz w:val="52"/>
          <w:szCs w:val="52"/>
        </w:rPr>
      </w:pPr>
      <w:r>
        <w:rPr>
          <w:rFonts w:hint="eastAsia" w:ascii="仿宋_GB2312" w:hAnsi="仿宋_GB2312" w:eastAsia="仿宋_GB2312" w:cs="仿宋_GB2312"/>
        </w:rPr>
        <w:pict>
          <v:line id="直接连接符 5" o:spid="_x0000_s1083" o:spt="20" style="position:absolute;left:0pt;margin-left:0pt;margin-top:6.2pt;height:0.05pt;width:450pt;z-index:251664384;mso-width-relative:page;mso-height-relative:page;" coordsize="21600,21600">
            <v:path arrowok="t"/>
            <v:fill focussize="0,0"/>
            <v:stroke/>
            <v:imagedata o:title=""/>
            <o:lock v:ext="edit"/>
          </v:line>
        </w:pict>
      </w:r>
    </w:p>
    <w:p w14:paraId="158BCFC1">
      <w:pPr>
        <w:widowControl/>
        <w:adjustRightInd w:val="0"/>
        <w:snapToGrid w:val="0"/>
        <w:ind w:left="1" w:right="23" w:rightChars="11"/>
        <w:jc w:val="center"/>
        <w:rPr>
          <w:rFonts w:hint="eastAsia" w:ascii="仿宋_GB2312" w:hAnsi="仿宋_GB2312" w:eastAsia="仿宋_GB2312" w:cs="仿宋_GB2312"/>
          <w:w w:val="90"/>
          <w:sz w:val="52"/>
          <w:szCs w:val="52"/>
        </w:rPr>
      </w:pPr>
    </w:p>
    <w:p w14:paraId="19EF634F">
      <w:pPr>
        <w:widowControl/>
        <w:adjustRightInd w:val="0"/>
        <w:snapToGrid w:val="0"/>
        <w:ind w:left="1" w:right="23" w:rightChars="11"/>
        <w:jc w:val="center"/>
        <w:rPr>
          <w:rFonts w:hint="eastAsia" w:ascii="仿宋_GB2312" w:hAnsi="仿宋_GB2312" w:eastAsia="仿宋_GB2312" w:cs="仿宋_GB2312"/>
          <w:w w:val="90"/>
          <w:sz w:val="52"/>
          <w:szCs w:val="52"/>
        </w:rPr>
      </w:pPr>
    </w:p>
    <w:p w14:paraId="3656A785">
      <w:pPr>
        <w:widowControl/>
        <w:adjustRightInd w:val="0"/>
        <w:snapToGrid w:val="0"/>
        <w:ind w:left="1" w:right="23" w:rightChars="11"/>
        <w:jc w:val="center"/>
        <w:rPr>
          <w:rFonts w:hint="eastAsia" w:ascii="仿宋_GB2312" w:hAnsi="仿宋_GB2312" w:eastAsia="仿宋_GB2312" w:cs="仿宋_GB2312"/>
          <w:w w:val="90"/>
          <w:sz w:val="52"/>
          <w:szCs w:val="52"/>
        </w:rPr>
      </w:pPr>
    </w:p>
    <w:p w14:paraId="67AF49A9">
      <w:pPr>
        <w:widowControl/>
        <w:adjustRightInd w:val="0"/>
        <w:snapToGrid w:val="0"/>
        <w:ind w:right="23" w:rightChars="11"/>
        <w:rPr>
          <w:rFonts w:hint="eastAsia" w:ascii="仿宋_GB2312" w:hAnsi="仿宋_GB2312" w:eastAsia="仿宋_GB2312" w:cs="仿宋_GB2312"/>
          <w:w w:val="90"/>
          <w:sz w:val="52"/>
          <w:szCs w:val="52"/>
        </w:rPr>
      </w:pPr>
    </w:p>
    <w:p w14:paraId="6C4B3437">
      <w:pPr>
        <w:widowControl/>
        <w:adjustRightInd w:val="0"/>
        <w:snapToGrid w:val="0"/>
        <w:ind w:left="1" w:right="23" w:rightChars="11"/>
        <w:jc w:val="center"/>
        <w:rPr>
          <w:rFonts w:hint="eastAsia" w:ascii="仿宋_GB2312" w:hAnsi="仿宋_GB2312" w:eastAsia="仿宋_GB2312" w:cs="仿宋_GB2312"/>
          <w:w w:val="90"/>
          <w:sz w:val="52"/>
          <w:szCs w:val="52"/>
        </w:rPr>
      </w:pPr>
      <w:bookmarkStart w:id="1" w:name="zdmc"/>
      <w:r>
        <w:rPr>
          <w:rFonts w:hint="eastAsia" w:ascii="仿宋_GB2312" w:hAnsi="仿宋_GB2312" w:eastAsia="仿宋_GB2312" w:cs="仿宋_GB2312"/>
          <w:w w:val="90"/>
          <w:sz w:val="52"/>
          <w:szCs w:val="52"/>
        </w:rPr>
        <w:t>风险分级管控体系实施指南</w:t>
      </w:r>
      <w:bookmarkEnd w:id="1"/>
    </w:p>
    <w:p w14:paraId="6B8EDFEF">
      <w:pPr>
        <w:widowControl/>
        <w:adjustRightInd w:val="0"/>
        <w:snapToGrid w:val="0"/>
        <w:ind w:left="1" w:right="23" w:rightChars="11"/>
        <w:jc w:val="center"/>
        <w:rPr>
          <w:rFonts w:hint="eastAsia" w:ascii="仿宋_GB2312" w:hAnsi="仿宋_GB2312" w:eastAsia="仿宋_GB2312" w:cs="仿宋_GB2312"/>
          <w:color w:val="FF0000"/>
          <w:w w:val="90"/>
          <w:sz w:val="52"/>
          <w:szCs w:val="52"/>
        </w:rPr>
      </w:pPr>
    </w:p>
    <w:p w14:paraId="3A64E583">
      <w:pPr>
        <w:widowControl/>
        <w:adjustRightInd w:val="0"/>
        <w:snapToGrid w:val="0"/>
        <w:ind w:left="1" w:right="23" w:rightChars="11"/>
        <w:jc w:val="center"/>
        <w:rPr>
          <w:rFonts w:hint="eastAsia" w:ascii="仿宋_GB2312" w:hAnsi="仿宋_GB2312" w:eastAsia="仿宋_GB2312" w:cs="仿宋_GB2312"/>
          <w:w w:val="90"/>
          <w:sz w:val="52"/>
          <w:szCs w:val="52"/>
        </w:rPr>
      </w:pPr>
    </w:p>
    <w:p w14:paraId="7832CD49">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35566050">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1171D241">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05211DA1">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67CF92FE">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4B31D380">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479D369B">
      <w:pPr>
        <w:widowControl/>
        <w:adjustRightInd w:val="0"/>
        <w:snapToGrid w:val="0"/>
        <w:spacing w:line="500" w:lineRule="exact"/>
        <w:jc w:val="center"/>
        <w:rPr>
          <w:rFonts w:hint="eastAsia" w:ascii="仿宋_GB2312" w:hAnsi="仿宋_GB2312" w:eastAsia="仿宋_GB2312" w:cs="仿宋_GB2312"/>
          <w:spacing w:val="-2"/>
          <w:kern w:val="28"/>
          <w:sz w:val="52"/>
          <w:szCs w:val="52"/>
        </w:rPr>
      </w:pPr>
    </w:p>
    <w:p w14:paraId="06DA292B">
      <w:pPr>
        <w:widowControl/>
        <w:adjustRightInd w:val="0"/>
        <w:snapToGrid w:val="0"/>
        <w:spacing w:line="500" w:lineRule="exact"/>
        <w:ind w:firstLine="276" w:firstLineChars="100"/>
        <w:rPr>
          <w:rFonts w:hint="eastAsia" w:ascii="仿宋_GB2312" w:hAnsi="仿宋_GB2312" w:eastAsia="仿宋_GB2312" w:cs="仿宋_GB2312"/>
          <w:spacing w:val="-2"/>
          <w:kern w:val="28"/>
          <w:sz w:val="28"/>
          <w:szCs w:val="28"/>
        </w:rPr>
      </w:pPr>
      <w:r>
        <w:rPr>
          <w:rFonts w:hint="eastAsia" w:ascii="仿宋_GB2312" w:hAnsi="仿宋_GB2312" w:eastAsia="仿宋_GB2312" w:cs="仿宋_GB2312"/>
          <w:spacing w:val="-2"/>
          <w:kern w:val="28"/>
          <w:sz w:val="28"/>
          <w:szCs w:val="28"/>
        </w:rPr>
        <w:t>年  月  日发布                          年  月  日实施</w:t>
      </w:r>
    </w:p>
    <w:p w14:paraId="7108BC91">
      <w:pPr>
        <w:widowControl/>
        <w:adjustRightInd w:val="0"/>
        <w:snapToGrid w:val="0"/>
        <w:spacing w:line="500" w:lineRule="exact"/>
        <w:rPr>
          <w:rFonts w:hint="eastAsia" w:ascii="仿宋_GB2312" w:hAnsi="仿宋_GB2312" w:eastAsia="仿宋_GB2312" w:cs="仿宋_GB2312"/>
          <w:spacing w:val="-2"/>
          <w:kern w:val="28"/>
          <w:sz w:val="28"/>
          <w:szCs w:val="28"/>
        </w:rPr>
      </w:pPr>
      <w:r>
        <w:rPr>
          <w:rFonts w:hint="eastAsia" w:ascii="仿宋_GB2312" w:hAnsi="仿宋_GB2312" w:eastAsia="仿宋_GB2312" w:cs="仿宋_GB2312"/>
          <w:spacing w:val="-2"/>
          <w:kern w:val="28"/>
          <w:sz w:val="28"/>
          <w:szCs w:val="28"/>
        </w:rPr>
        <w:pict>
          <v:line id="_x0000_s1085" o:spid="_x0000_s1085" o:spt="20" style="position:absolute;left:0pt;margin-left:-7.75pt;margin-top:0.5pt;height:0pt;width:449.95pt;z-index:251666432;mso-width-relative:page;mso-height-relative:page;" coordsize="21600,21600">
            <v:path arrowok="t"/>
            <v:fill focussize="0,0"/>
            <v:stroke/>
            <v:imagedata o:title=""/>
            <o:lock v:ext="edit"/>
          </v:line>
        </w:pict>
      </w:r>
      <w:r>
        <w:rPr>
          <w:rFonts w:hint="eastAsia" w:ascii="仿宋_GB2312" w:hAnsi="仿宋_GB2312" w:eastAsia="仿宋_GB2312" w:cs="仿宋_GB2312"/>
          <w:spacing w:val="-2"/>
          <w:kern w:val="28"/>
          <w:sz w:val="28"/>
          <w:szCs w:val="28"/>
        </w:rPr>
        <w:pict>
          <v:line id="_x0000_s1084" o:spid="_x0000_s1084" o:spt="20" style="position:absolute;left:0pt;flip:y;margin-left:0pt;margin-top:0.5pt;height:0pt;width:442.2pt;z-index:251665408;mso-width-relative:page;mso-height-relative:page;" coordsize="21600,21600">
            <v:path arrowok="t"/>
            <v:fill focussize="0,0"/>
            <v:stroke weight="1pt"/>
            <v:imagedata o:title=""/>
            <o:lock v:ext="edit"/>
          </v:line>
        </w:pict>
      </w:r>
      <w:r>
        <w:rPr>
          <w:rFonts w:hint="eastAsia" w:ascii="仿宋_GB2312" w:hAnsi="仿宋_GB2312" w:eastAsia="仿宋_GB2312" w:cs="仿宋_GB2312"/>
          <w:spacing w:val="-2"/>
          <w:kern w:val="28"/>
          <w:sz w:val="28"/>
          <w:szCs w:val="28"/>
          <w:lang w:eastAsia="zh-CN"/>
        </w:rPr>
        <w:t>（集团）股份有限公司</w:t>
      </w:r>
      <w:r>
        <w:rPr>
          <w:rFonts w:hint="eastAsia" w:ascii="仿宋_GB2312" w:hAnsi="仿宋_GB2312" w:eastAsia="仿宋_GB2312" w:cs="仿宋_GB2312"/>
          <w:spacing w:val="-2"/>
          <w:kern w:val="28"/>
          <w:sz w:val="28"/>
          <w:szCs w:val="28"/>
          <w:lang w:val="en-US" w:eastAsia="zh-CN"/>
        </w:rPr>
        <w:t xml:space="preserve">                     </w:t>
      </w:r>
      <w:r>
        <w:rPr>
          <w:rFonts w:hint="eastAsia" w:ascii="仿宋_GB2312" w:hAnsi="仿宋_GB2312" w:eastAsia="仿宋_GB2312" w:cs="仿宋_GB2312"/>
          <w:spacing w:val="-2"/>
          <w:kern w:val="28"/>
          <w:sz w:val="28"/>
          <w:szCs w:val="28"/>
        </w:rPr>
        <w:t xml:space="preserve">   发布</w:t>
      </w:r>
    </w:p>
    <w:p w14:paraId="1F9777E0">
      <w:pPr>
        <w:pStyle w:val="11"/>
        <w:rPr>
          <w:rFonts w:hint="eastAsia" w:ascii="仿宋_GB2312" w:hAnsi="仿宋_GB2312" w:eastAsia="仿宋_GB2312" w:cs="仿宋_GB2312"/>
        </w:rPr>
      </w:pPr>
      <w:r>
        <w:rPr>
          <w:rFonts w:hint="eastAsia" w:ascii="仿宋_GB2312" w:hAnsi="仿宋_GB2312" w:eastAsia="仿宋_GB2312" w:cs="仿宋_GB2312"/>
        </w:rPr>
        <w:t>目 录</w:t>
      </w:r>
    </w:p>
    <w:p w14:paraId="227D8E36">
      <w:pPr>
        <w:rPr>
          <w:rFonts w:hint="eastAsia" w:ascii="仿宋_GB2312" w:hAnsi="仿宋_GB2312" w:eastAsia="仿宋_GB2312" w:cs="仿宋_GB2312"/>
        </w:rPr>
      </w:pPr>
    </w:p>
    <w:p w14:paraId="62F2B296">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TOC \o "1-3" \h \z \u </w:instrText>
      </w:r>
      <w:r>
        <w:rPr>
          <w:rFonts w:hint="eastAsia" w:ascii="仿宋_GB2312" w:hAnsi="仿宋_GB2312" w:eastAsia="仿宋_GB2312" w:cs="仿宋_GB2312"/>
        </w:rPr>
        <w:fldChar w:fldCharType="separate"/>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"_Toc466454086"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1  编制目的</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_Toc466454086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785B4511">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"_Toc466454087"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2  编制依据</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_Toc466454087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55EA1F8E">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"_Toc466454088"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3  总体要求、目标与原则</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_Toc466454088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55568D44">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"_Toc466454089"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3.1  总体要求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4F603DA">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"_Toc466454090"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3.2目标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DF61E4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"_Toc466454091"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3.3原则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BFC6DEB">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"_Toc466454092"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4  职责分工</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_Toc466454092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1FD087E0">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"_Toc466454093"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4.1  主要负责人职责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8F0D630">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"_Toc466454094"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4.2  分管安全副总职责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9965AB6">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"_Toc466454095"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4.3  安全管理部门职责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111AE8E">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"_Toc466454096"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4.4各部门（车间）职责</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907F234">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"_Toc466454097"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5术语和定义</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_Toc466454097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8</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1A73735A">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"_Toc466454098"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5.1  风险点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ABA18E2">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"_Toc466454099"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5.2  危险源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_Toc466454099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FF3A91E">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"_Toc466454100"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5.3  风险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76FD3D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"_Toc466454101"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5.4  危险源辨识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86221E5">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"_Toc466454102"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5.5  风险评价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A245285">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"_Toc466454103"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5.6  风险分级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7906620">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"_Toc466454104"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5.7  风险分级管控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7D5962E">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"_Toc466454105"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5.8  风险信息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1C6C4A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"_Toc466454106"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6  风险分级管控概述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28E03AC">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"_Toc466454107"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7  风险点识别与分级</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_Toc466454107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48B01A45">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"_Toc466454108"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 xml:space="preserve">7.1  </w:t>
      </w:r>
      <w:r>
        <w:rPr>
          <w:rStyle w:val="19"/>
          <w:rFonts w:hint="eastAsia" w:ascii="仿宋_GB2312" w:hAnsi="仿宋_GB2312" w:eastAsia="仿宋_GB2312" w:cs="仿宋_GB2312"/>
          <w:bCs/>
          <w:sz w:val="32"/>
          <w:szCs w:val="32"/>
        </w:rPr>
        <w:t>风险点识别（单元划分）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_Toc466454108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235217C9">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"_Toc466454109"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bCs/>
          <w:sz w:val="32"/>
          <w:szCs w:val="32"/>
        </w:rPr>
        <w:t>7.2  风险点的确定</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_Toc466454109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7F2C98B5">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"_Toc466454110"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bCs/>
          <w:sz w:val="32"/>
          <w:szCs w:val="32"/>
        </w:rPr>
        <w:t>7.3  风险点级别的确定</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_Toc466454110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4F0A524E">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"_Toc466454111"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  危险源识别与分级</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_Toc466454111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2D507944">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"_Toc466454112"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  危险源识别</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2C50E44">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"_Toc466454113"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8.1.1  危险源识别范围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B256CD3">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"_Toc466454114"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8.1.2  危险源识别方法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3AD96F7">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"_Toc466454115"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8.1.3  危险源辨识应考虑的因素</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0EE344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"_Toc466454116"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8.1.4  危险源分类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94440D0">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"_Toc466454117"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8.1.5  可能导致的伤害及后果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_Toc466454117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0D2A048">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"_Toc466454118"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8.2  危险源评价方法</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_Toc466454118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33906557">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"_Toc466454119"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8.3  危险源风险分级</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_Toc466454119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0D652906">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"_Toc466454120"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9  风险管控</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_Toc466454120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22FE52E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"_Toc466454121"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9.1  风险管控措施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_Toc466454121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D9849ED">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"_Toc466454122"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9.2  风险管控措施确定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3D4222F">
      <w:pPr>
        <w:pStyle w:val="12"/>
        <w:tabs>
          <w:tab w:val="right" w:leader="dot" w:pos="8834"/>
        </w:tabs>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"_Toc466454123"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9.3  风险分级管控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_Toc466454123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2B9D612">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"_Toc466454124"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10  变更管理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_Toc466454124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19</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085B910F">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"_Toc466454125"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11  持续改进</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_Toc466454125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20</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79583D84">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"_Toc466454126"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12  公告警示</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_Toc466454126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2659A2D4">
      <w:pPr>
        <w:pStyle w:val="11"/>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"_Toc466454127" </w:instrText>
      </w:r>
      <w:r>
        <w:rPr>
          <w:rFonts w:hint="eastAsia" w:ascii="仿宋_GB2312" w:hAnsi="仿宋_GB2312" w:eastAsia="仿宋_GB2312" w:cs="仿宋_GB2312"/>
        </w:rPr>
        <w:fldChar w:fldCharType="separate"/>
      </w:r>
      <w:r>
        <w:rPr>
          <w:rStyle w:val="19"/>
          <w:rFonts w:hint="eastAsia" w:ascii="仿宋_GB2312" w:hAnsi="仿宋_GB2312" w:eastAsia="仿宋_GB2312" w:cs="仿宋_GB2312"/>
          <w:sz w:val="32"/>
          <w:szCs w:val="32"/>
        </w:rPr>
        <w:t>13  记录管理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_Toc466454127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14:paraId="00326575">
      <w:pPr>
        <w:widowControl/>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p w14:paraId="0DA3D4F1">
      <w:pPr>
        <w:widowControl/>
        <w:spacing w:line="560" w:lineRule="exact"/>
        <w:jc w:val="center"/>
        <w:rPr>
          <w:rFonts w:hint="eastAsia" w:ascii="仿宋_GB2312" w:hAnsi="仿宋_GB2312" w:eastAsia="仿宋_GB2312" w:cs="仿宋_GB2312"/>
          <w:sz w:val="36"/>
          <w:szCs w:val="36"/>
        </w:rPr>
      </w:pPr>
      <w:r>
        <w:rPr>
          <w:rFonts w:hint="eastAsia" w:ascii="仿宋_GB2312" w:hAnsi="仿宋_GB2312" w:eastAsia="仿宋_GB2312" w:cs="仿宋_GB2312"/>
          <w:sz w:val="36"/>
          <w:szCs w:val="36"/>
          <w:lang w:eastAsia="zh-CN"/>
        </w:rPr>
        <w:t>（集团）股份有限公司</w:t>
      </w:r>
      <w:r>
        <w:rPr>
          <w:rFonts w:hint="eastAsia" w:ascii="仿宋_GB2312" w:hAnsi="仿宋_GB2312" w:eastAsia="仿宋_GB2312" w:cs="仿宋_GB2312"/>
          <w:sz w:val="36"/>
          <w:szCs w:val="36"/>
        </w:rPr>
        <w:t>风险分级管控体系实施指南</w:t>
      </w:r>
    </w:p>
    <w:p w14:paraId="1C4AFC5D">
      <w:pPr>
        <w:outlineLvl w:val="0"/>
        <w:rPr>
          <w:rFonts w:hint="eastAsia" w:ascii="仿宋_GB2312" w:hAnsi="仿宋_GB2312" w:eastAsia="仿宋_GB2312" w:cs="仿宋_GB2312"/>
          <w:sz w:val="10"/>
          <w:szCs w:val="10"/>
        </w:rPr>
      </w:pPr>
    </w:p>
    <w:p w14:paraId="1159F42B">
      <w:pPr>
        <w:outlineLvl w:val="0"/>
        <w:rPr>
          <w:rFonts w:hint="eastAsia" w:ascii="仿宋_GB2312" w:hAnsi="仿宋_GB2312" w:eastAsia="仿宋_GB2312" w:cs="仿宋_GB2312"/>
          <w:sz w:val="32"/>
          <w:szCs w:val="32"/>
        </w:rPr>
      </w:pPr>
      <w:bookmarkStart w:id="2" w:name="_Toc466454086"/>
      <w:bookmarkStart w:id="3" w:name="_Toc448219028"/>
      <w:bookmarkStart w:id="4" w:name="_Toc433708663"/>
      <w:r>
        <w:rPr>
          <w:rFonts w:hint="eastAsia" w:ascii="仿宋_GB2312" w:hAnsi="仿宋_GB2312" w:eastAsia="仿宋_GB2312" w:cs="仿宋_GB2312"/>
          <w:sz w:val="32"/>
          <w:szCs w:val="32"/>
        </w:rPr>
        <w:t xml:space="preserve">1  </w:t>
      </w:r>
      <w:bookmarkEnd w:id="2"/>
      <w:r>
        <w:rPr>
          <w:rFonts w:hint="eastAsia" w:ascii="仿宋_GB2312" w:hAnsi="仿宋_GB2312" w:eastAsia="仿宋_GB2312" w:cs="仿宋_GB2312"/>
          <w:sz w:val="32"/>
          <w:szCs w:val="32"/>
        </w:rPr>
        <w:t>范围</w:t>
      </w:r>
    </w:p>
    <w:p w14:paraId="66912246">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本指南规定了乳制品企业（以下简称企业）落实风险分级管控工作各项要求的指导性方法和实施建议，旨在通过风险分级管控体系的建立和运行，实现“关口前移、风险导向、源头治理、精准管理、科学预防、持续改进”的安全管理理念和要求，使企业切实落实企业安全生产主体责任，持续提升企业本质安全水平，遏制各类安全生产事故。    </w:t>
      </w:r>
    </w:p>
    <w:p w14:paraId="7EDEDB8D">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本指南适用于乳制品企业风险分级管控体系建设（包括常温奶生产、低温奶生产、冰淇淋生产、仓储运输、能源动力等公辅场所等）,不论其规模、类型、位置和成熟程度。</w:t>
      </w:r>
    </w:p>
    <w:p w14:paraId="5C116770">
      <w:pPr>
        <w:outlineLvl w:val="0"/>
        <w:rPr>
          <w:rFonts w:hint="eastAsia" w:ascii="仿宋_GB2312" w:hAnsi="仿宋_GB2312" w:eastAsia="仿宋_GB2312" w:cs="仿宋_GB2312"/>
          <w:sz w:val="32"/>
          <w:szCs w:val="32"/>
        </w:rPr>
      </w:pPr>
      <w:bookmarkStart w:id="5" w:name="_Toc466454087"/>
      <w:r>
        <w:rPr>
          <w:rFonts w:hint="eastAsia" w:ascii="仿宋_GB2312" w:hAnsi="仿宋_GB2312" w:eastAsia="仿宋_GB2312" w:cs="仿宋_GB2312"/>
          <w:sz w:val="32"/>
          <w:szCs w:val="32"/>
        </w:rPr>
        <w:t xml:space="preserve">2  </w:t>
      </w:r>
      <w:bookmarkEnd w:id="5"/>
      <w:bookmarkStart w:id="6" w:name="_Toc466060648"/>
      <w:bookmarkStart w:id="7" w:name="_Toc455127145"/>
      <w:r>
        <w:rPr>
          <w:rFonts w:hint="eastAsia" w:ascii="仿宋_GB2312" w:hAnsi="仿宋_GB2312" w:eastAsia="仿宋_GB2312" w:cs="仿宋_GB2312"/>
          <w:sz w:val="32"/>
          <w:szCs w:val="32"/>
        </w:rPr>
        <w:t>规范性引用文件</w:t>
      </w:r>
      <w:bookmarkEnd w:id="6"/>
      <w:bookmarkEnd w:id="7"/>
    </w:p>
    <w:p w14:paraId="2BAFDF78">
      <w:pPr>
        <w:pStyle w:val="38"/>
        <w:spacing w:line="44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下列文件对于本文件的应用是必不可少的。凡是注日期的引用文件，仅所注日期的版本适用于本文件。凡是不注日期的引用文件，其最新版本（包括所有的修改单）适用于本文件。</w:t>
      </w:r>
    </w:p>
    <w:p w14:paraId="3DC92560">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28001 职业健康安全管理体系 规范</w:t>
      </w:r>
    </w:p>
    <w:p w14:paraId="15EF59B7">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28002 职业健康安全管理体系 实施指南</w:t>
      </w:r>
    </w:p>
    <w:p w14:paraId="4D61C528">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23694-2009 风险管理 术语</w:t>
      </w:r>
    </w:p>
    <w:p w14:paraId="3FCE8721">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24353-2009 风险管理 原则与实施指南</w:t>
      </w:r>
    </w:p>
    <w:p w14:paraId="0EF231ED">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27921-2011 风险管理 风险评估技术</w:t>
      </w:r>
    </w:p>
    <w:p w14:paraId="2EAFD4E9">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GB/T 13861-2020</w:t>
      </w:r>
      <w:r>
        <w:rPr>
          <w:rFonts w:hint="eastAsia" w:ascii="仿宋_GB2312" w:hAnsi="仿宋_GB2312" w:eastAsia="仿宋_GB2312" w:cs="仿宋_GB2312"/>
          <w:kern w:val="0"/>
          <w:sz w:val="32"/>
          <w:szCs w:val="32"/>
        </w:rPr>
        <w:t xml:space="preserve"> 生产过程危险和有害因素分类与代码</w:t>
      </w:r>
    </w:p>
    <w:p w14:paraId="0D3E8B4D">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GB/T 20000.4-2003 标准化工作指南 第4部分：标准中涉及安全的内容</w:t>
      </w:r>
    </w:p>
    <w:p w14:paraId="4A3411B9">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《工贸行业较大危险因素辨识与防范指导手册》（2016版 安监总管四〔2016〕31号）</w:t>
      </w:r>
    </w:p>
    <w:p w14:paraId="622CABD4">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《工贸行业遏制重特大事故工作意见》（安监总管四〔2016〕68号）</w:t>
      </w:r>
    </w:p>
    <w:p w14:paraId="7F8B87BC">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《山东省人民政府办公厅关于建立完善风险管控和隐患排查治理双重预防机制的通知》（鲁政办字【2016】36号）</w:t>
      </w:r>
    </w:p>
    <w:p w14:paraId="286B32AC">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《山东省人民政府安全生产委员会关于深化安全生产隐患排查快整治严执法集中行动推进企业安全风险管控工作的通知》（鲁安发【2016】16号）</w:t>
      </w:r>
    </w:p>
    <w:p w14:paraId="75D632F9">
      <w:pPr>
        <w:autoSpaceDE w:val="0"/>
        <w:autoSpaceDN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山东省人民政府安全生产委员会办公室关于印发《加快推进安全生产风险分级管控与隐患排查治理两个体系建设工作方案》的通知鲁安办发【2016】10号</w:t>
      </w:r>
    </w:p>
    <w:p w14:paraId="4825A684">
      <w:pPr>
        <w:outlineLvl w:val="0"/>
        <w:rPr>
          <w:rFonts w:hint="eastAsia" w:ascii="仿宋_GB2312" w:hAnsi="仿宋_GB2312" w:eastAsia="仿宋_GB2312" w:cs="仿宋_GB2312"/>
          <w:sz w:val="32"/>
          <w:szCs w:val="32"/>
        </w:rPr>
      </w:pPr>
      <w:bookmarkStart w:id="8" w:name="_Toc466454088"/>
      <w:r>
        <w:rPr>
          <w:rFonts w:hint="eastAsia" w:ascii="仿宋_GB2312" w:hAnsi="仿宋_GB2312" w:eastAsia="仿宋_GB2312" w:cs="仿宋_GB2312"/>
          <w:sz w:val="32"/>
          <w:szCs w:val="32"/>
        </w:rPr>
        <w:t>3  总体要求、目标与原则</w:t>
      </w:r>
      <w:bookmarkEnd w:id="8"/>
    </w:p>
    <w:p w14:paraId="0CB8737C">
      <w:pPr>
        <w:pStyle w:val="3"/>
        <w:spacing w:before="0" w:after="0" w:line="240" w:lineRule="auto"/>
        <w:rPr>
          <w:rFonts w:hint="eastAsia" w:ascii="仿宋_GB2312" w:hAnsi="仿宋_GB2312" w:eastAsia="仿宋_GB2312" w:cs="仿宋_GB2312"/>
          <w:b w:val="0"/>
        </w:rPr>
      </w:pPr>
      <w:bookmarkStart w:id="9" w:name="_Toc466454089"/>
      <w:r>
        <w:rPr>
          <w:rFonts w:hint="eastAsia" w:ascii="仿宋_GB2312" w:hAnsi="仿宋_GB2312" w:eastAsia="仿宋_GB2312" w:cs="仿宋_GB2312"/>
          <w:b w:val="0"/>
        </w:rPr>
        <w:t>3.1  总体要求</w:t>
      </w:r>
      <w:bookmarkEnd w:id="9"/>
    </w:p>
    <w:p w14:paraId="1BDAF880">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结合本企业特点，建立精准、动态、高效、严格的风险分级管控体系，全面排查、辨识、评估安全风险，落实风险管控责任，采取有效措施控制重大安全风险，对企业风险实施标准化管控。通过体系建设形成安全生产长效机制，提升企业安全生产水平，有效防范各类事故，确保安全生产形势持续稳定好转。</w:t>
      </w:r>
    </w:p>
    <w:p w14:paraId="71AB276F">
      <w:pPr>
        <w:pStyle w:val="3"/>
        <w:spacing w:before="0" w:after="0" w:line="240" w:lineRule="auto"/>
        <w:rPr>
          <w:rFonts w:hint="eastAsia" w:ascii="仿宋_GB2312" w:hAnsi="仿宋_GB2312" w:eastAsia="仿宋_GB2312" w:cs="仿宋_GB2312"/>
          <w:b w:val="0"/>
        </w:rPr>
      </w:pPr>
      <w:bookmarkStart w:id="10" w:name="_Toc466454090"/>
      <w:r>
        <w:rPr>
          <w:rFonts w:hint="eastAsia" w:ascii="仿宋_GB2312" w:hAnsi="仿宋_GB2312" w:eastAsia="仿宋_GB2312" w:cs="仿宋_GB2312"/>
          <w:b w:val="0"/>
        </w:rPr>
        <w:t>3.2目标</w:t>
      </w:r>
      <w:bookmarkEnd w:id="10"/>
    </w:p>
    <w:p w14:paraId="1ABC8283">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危险源辨识要全覆盖、全方位、全过程，全面落实风险管控主体责任,确保风险受控,从根本上防范事故发生，构建安全生产长效机制。</w:t>
      </w:r>
    </w:p>
    <w:p w14:paraId="5D30AFC3">
      <w:pPr>
        <w:pStyle w:val="3"/>
        <w:spacing w:before="0" w:after="0" w:line="240" w:lineRule="auto"/>
        <w:rPr>
          <w:rFonts w:hint="eastAsia" w:ascii="仿宋_GB2312" w:hAnsi="仿宋_GB2312" w:eastAsia="仿宋_GB2312" w:cs="仿宋_GB2312"/>
          <w:b w:val="0"/>
        </w:rPr>
      </w:pPr>
      <w:bookmarkStart w:id="11" w:name="_Toc466454091"/>
      <w:r>
        <w:rPr>
          <w:rFonts w:hint="eastAsia" w:ascii="仿宋_GB2312" w:hAnsi="仿宋_GB2312" w:eastAsia="仿宋_GB2312" w:cs="仿宋_GB2312"/>
          <w:b w:val="0"/>
        </w:rPr>
        <w:t>3.3原则</w:t>
      </w:r>
      <w:bookmarkEnd w:id="11"/>
    </w:p>
    <w:p w14:paraId="6BCA9958">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坚持以人为本，牢固树立安全发展理念和红线意识，以更大的努力、更有效的举措、更完善的制度，进一步落实企业主体责任,夯实安全管理基础管理,强化应急救援能力，堵塞各类安全漏洞。</w:t>
      </w:r>
    </w:p>
    <w:p w14:paraId="2781A4D5">
      <w:pPr>
        <w:outlineLvl w:val="0"/>
        <w:rPr>
          <w:rFonts w:hint="eastAsia" w:ascii="仿宋_GB2312" w:hAnsi="仿宋_GB2312" w:eastAsia="仿宋_GB2312" w:cs="仿宋_GB2312"/>
          <w:sz w:val="32"/>
          <w:szCs w:val="32"/>
        </w:rPr>
      </w:pPr>
      <w:bookmarkStart w:id="12" w:name="_Toc466454092"/>
      <w:r>
        <w:rPr>
          <w:rFonts w:hint="eastAsia" w:ascii="仿宋_GB2312" w:hAnsi="仿宋_GB2312" w:eastAsia="仿宋_GB2312" w:cs="仿宋_GB2312"/>
          <w:sz w:val="32"/>
          <w:szCs w:val="32"/>
        </w:rPr>
        <w:t>4  职责分工</w:t>
      </w:r>
      <w:bookmarkEnd w:id="12"/>
    </w:p>
    <w:p w14:paraId="5CD84EB8">
      <w:pPr>
        <w:pStyle w:val="3"/>
        <w:spacing w:before="0" w:after="0" w:line="240" w:lineRule="auto"/>
        <w:rPr>
          <w:rFonts w:hint="eastAsia" w:ascii="仿宋_GB2312" w:hAnsi="仿宋_GB2312" w:eastAsia="仿宋_GB2312" w:cs="仿宋_GB2312"/>
          <w:b w:val="0"/>
        </w:rPr>
      </w:pPr>
      <w:bookmarkStart w:id="13" w:name="_Toc466454093"/>
      <w:r>
        <w:rPr>
          <w:rFonts w:hint="eastAsia" w:ascii="仿宋_GB2312" w:hAnsi="仿宋_GB2312" w:eastAsia="仿宋_GB2312" w:cs="仿宋_GB2312"/>
          <w:b w:val="0"/>
        </w:rPr>
        <w:t>4.1  主要负责人职责</w:t>
      </w:r>
      <w:bookmarkEnd w:id="13"/>
    </w:p>
    <w:p w14:paraId="07247449">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主要负责人成立体系建设推动领导委员会和各专业工作组，组织制定体系建设工作方案，定期部署对体系建设工作情况进行调度、督导和考核。</w:t>
      </w:r>
    </w:p>
    <w:p w14:paraId="292F0D94">
      <w:pPr>
        <w:pStyle w:val="3"/>
        <w:spacing w:before="0" w:after="0" w:line="240" w:lineRule="auto"/>
        <w:rPr>
          <w:rFonts w:hint="eastAsia" w:ascii="仿宋_GB2312" w:hAnsi="仿宋_GB2312" w:eastAsia="仿宋_GB2312" w:cs="仿宋_GB2312"/>
          <w:b w:val="0"/>
        </w:rPr>
      </w:pPr>
      <w:bookmarkStart w:id="14" w:name="_Toc466454094"/>
      <w:r>
        <w:rPr>
          <w:rFonts w:hint="eastAsia" w:ascii="仿宋_GB2312" w:hAnsi="仿宋_GB2312" w:eastAsia="仿宋_GB2312" w:cs="仿宋_GB2312"/>
          <w:b w:val="0"/>
        </w:rPr>
        <w:t>4.2  分管负责人职责</w:t>
      </w:r>
      <w:bookmarkEnd w:id="14"/>
    </w:p>
    <w:p w14:paraId="4853845F">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分管负责人是危险源识别、风险评价及风险管控过程的主要负责人，负责危险源辨识、风险评价和风险控制措施确定工作的监督管理。</w:t>
      </w:r>
    </w:p>
    <w:p w14:paraId="19242541">
      <w:pPr>
        <w:pStyle w:val="3"/>
        <w:spacing w:before="0" w:after="0" w:line="240" w:lineRule="auto"/>
        <w:rPr>
          <w:rFonts w:hint="eastAsia" w:ascii="仿宋_GB2312" w:hAnsi="仿宋_GB2312" w:eastAsia="仿宋_GB2312" w:cs="仿宋_GB2312"/>
          <w:b w:val="0"/>
        </w:rPr>
      </w:pPr>
      <w:bookmarkStart w:id="15" w:name="_Toc466454095"/>
      <w:r>
        <w:rPr>
          <w:rFonts w:hint="eastAsia" w:ascii="仿宋_GB2312" w:hAnsi="仿宋_GB2312" w:eastAsia="仿宋_GB2312" w:cs="仿宋_GB2312"/>
          <w:b w:val="0"/>
        </w:rPr>
        <w:t>4.3  安全管理部门职责</w:t>
      </w:r>
      <w:bookmarkEnd w:id="15"/>
    </w:p>
    <w:p w14:paraId="50F2BED8">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负责起草体系建设工作方案和有关体系文件，协调和调度各专业工作组分工开展情况。</w:t>
      </w:r>
    </w:p>
    <w:p w14:paraId="7120A70A">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负责本指南的组织实施、指导和监督检查。</w:t>
      </w:r>
    </w:p>
    <w:p w14:paraId="731EF439">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负责组织对全公司风险结果评审。</w:t>
      </w:r>
    </w:p>
    <w:p w14:paraId="0D633F0F">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负责对二级以上（含二级）风险及其控制措施的汇总、协调、监督评估。</w:t>
      </w:r>
    </w:p>
    <w:p w14:paraId="3660C4A6">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负责将体系建设工作纳入安全生产责任制考核，确保实现“全员、全过程、全方位、全天候”的风险管控。</w:t>
      </w:r>
    </w:p>
    <w:p w14:paraId="7F837089">
      <w:pPr>
        <w:pStyle w:val="3"/>
        <w:spacing w:before="0" w:after="0" w:line="240" w:lineRule="auto"/>
        <w:rPr>
          <w:rFonts w:hint="eastAsia" w:ascii="仿宋_GB2312" w:hAnsi="仿宋_GB2312" w:eastAsia="仿宋_GB2312" w:cs="仿宋_GB2312"/>
          <w:b w:val="0"/>
        </w:rPr>
      </w:pPr>
      <w:bookmarkStart w:id="16" w:name="_Toc466454096"/>
      <w:r>
        <w:rPr>
          <w:rFonts w:hint="eastAsia" w:ascii="仿宋_GB2312" w:hAnsi="仿宋_GB2312" w:eastAsia="仿宋_GB2312" w:cs="仿宋_GB2312"/>
          <w:b w:val="0"/>
        </w:rPr>
        <w:t>4.4各部门（车间）职责</w:t>
      </w:r>
      <w:bookmarkEnd w:id="16"/>
    </w:p>
    <w:p w14:paraId="31A39554">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负责本部门区域内危险源辨识、风险评价和控制措施的确定及更新，确保风险识别全面，定位准确，评价得当、控制措施有效。</w:t>
      </w:r>
    </w:p>
    <w:p w14:paraId="3746F9EC">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负责将体系建设工作纳入本部门的安全生产责任制考核，确保实现“全员、全过程、全方位、全天候”的风险管控。</w:t>
      </w:r>
    </w:p>
    <w:p w14:paraId="07648E44">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多部门协作共同开展活动时，由活动牵头或组织部门负责危险源辨识和风险管控工作。</w:t>
      </w:r>
    </w:p>
    <w:bookmarkEnd w:id="3"/>
    <w:bookmarkEnd w:id="4"/>
    <w:p w14:paraId="104A766C">
      <w:pPr>
        <w:pStyle w:val="2"/>
        <w:spacing w:before="0" w:after="0" w:line="240" w:lineRule="auto"/>
        <w:rPr>
          <w:rFonts w:hint="eastAsia" w:ascii="仿宋_GB2312" w:hAnsi="仿宋_GB2312" w:eastAsia="仿宋_GB2312" w:cs="仿宋_GB2312"/>
          <w:b w:val="0"/>
          <w:sz w:val="32"/>
          <w:szCs w:val="32"/>
        </w:rPr>
      </w:pPr>
      <w:bookmarkStart w:id="17" w:name="_Toc433708664"/>
      <w:bookmarkStart w:id="18" w:name="_Toc466454097"/>
      <w:bookmarkStart w:id="19" w:name="_Toc448219029"/>
      <w:r>
        <w:rPr>
          <w:rFonts w:hint="eastAsia" w:ascii="仿宋_GB2312" w:hAnsi="仿宋_GB2312" w:eastAsia="仿宋_GB2312" w:cs="仿宋_GB2312"/>
          <w:b w:val="0"/>
          <w:sz w:val="32"/>
          <w:szCs w:val="32"/>
        </w:rPr>
        <w:t>5</w:t>
      </w:r>
      <w:bookmarkEnd w:id="17"/>
      <w:r>
        <w:rPr>
          <w:rFonts w:hint="eastAsia" w:ascii="仿宋_GB2312" w:hAnsi="仿宋_GB2312" w:eastAsia="仿宋_GB2312" w:cs="仿宋_GB2312"/>
          <w:b w:val="0"/>
          <w:sz w:val="32"/>
          <w:szCs w:val="32"/>
        </w:rPr>
        <w:t xml:space="preserve"> 术语和定义</w:t>
      </w:r>
      <w:bookmarkEnd w:id="18"/>
      <w:bookmarkEnd w:id="19"/>
    </w:p>
    <w:p w14:paraId="3B27873F">
      <w:pPr>
        <w:pStyle w:val="3"/>
        <w:spacing w:before="0" w:after="0" w:line="240" w:lineRule="auto"/>
        <w:rPr>
          <w:rFonts w:hint="eastAsia" w:ascii="仿宋_GB2312" w:hAnsi="仿宋_GB2312" w:eastAsia="仿宋_GB2312" w:cs="仿宋_GB2312"/>
          <w:b w:val="0"/>
        </w:rPr>
      </w:pPr>
      <w:bookmarkStart w:id="20" w:name="_Toc466454098"/>
      <w:r>
        <w:rPr>
          <w:rFonts w:hint="eastAsia" w:ascii="仿宋_GB2312" w:hAnsi="仿宋_GB2312" w:eastAsia="仿宋_GB2312" w:cs="仿宋_GB2312"/>
          <w:b w:val="0"/>
        </w:rPr>
        <w:t>5.1  风险点</w:t>
      </w:r>
      <w:bookmarkEnd w:id="20"/>
    </w:p>
    <w:p w14:paraId="6CD21DFB">
      <w:pPr>
        <w:autoSpaceDE w:val="0"/>
        <w:autoSpaceDN w:val="0"/>
        <w:ind w:firstLine="640" w:firstLineChars="200"/>
        <w:jc w:val="left"/>
        <w:rPr>
          <w:rFonts w:hint="eastAsia" w:ascii="仿宋_GB2312" w:hAnsi="仿宋_GB2312" w:eastAsia="仿宋_GB2312" w:cs="仿宋_GB2312"/>
          <w:kern w:val="0"/>
          <w:sz w:val="32"/>
          <w:szCs w:val="32"/>
        </w:rPr>
      </w:pPr>
      <w:bookmarkStart w:id="21" w:name="_Toc453688595"/>
      <w:bookmarkStart w:id="22" w:name="_Toc23060"/>
      <w:r>
        <w:rPr>
          <w:rFonts w:hint="eastAsia" w:ascii="仿宋_GB2312" w:hAnsi="仿宋_GB2312" w:eastAsia="仿宋_GB2312" w:cs="仿宋_GB2312"/>
          <w:kern w:val="0"/>
          <w:sz w:val="32"/>
          <w:szCs w:val="32"/>
        </w:rPr>
        <w:t>风险点是指</w:t>
      </w:r>
      <w:bookmarkStart w:id="23" w:name="OLE_LINK31"/>
      <w:r>
        <w:rPr>
          <w:rFonts w:hint="eastAsia" w:ascii="仿宋_GB2312" w:hAnsi="仿宋_GB2312" w:eastAsia="仿宋_GB2312" w:cs="仿宋_GB2312"/>
          <w:kern w:val="0"/>
          <w:sz w:val="32"/>
          <w:szCs w:val="32"/>
        </w:rPr>
        <w:t>伴随风险的</w:t>
      </w:r>
      <w:bookmarkEnd w:id="23"/>
      <w:bookmarkStart w:id="24" w:name="OLE_LINK30"/>
      <w:bookmarkStart w:id="25" w:name="OLE_LINK29"/>
      <w:r>
        <w:rPr>
          <w:rFonts w:hint="eastAsia" w:ascii="仿宋_GB2312" w:hAnsi="仿宋_GB2312" w:eastAsia="仿宋_GB2312" w:cs="仿宋_GB2312"/>
          <w:kern w:val="0"/>
          <w:sz w:val="32"/>
          <w:szCs w:val="32"/>
        </w:rPr>
        <w:t>部位、设施、场所和区域</w:t>
      </w:r>
      <w:bookmarkEnd w:id="24"/>
      <w:bookmarkEnd w:id="25"/>
      <w:r>
        <w:rPr>
          <w:rFonts w:hint="eastAsia" w:ascii="仿宋_GB2312" w:hAnsi="仿宋_GB2312" w:eastAsia="仿宋_GB2312" w:cs="仿宋_GB2312"/>
          <w:kern w:val="0"/>
          <w:sz w:val="32"/>
          <w:szCs w:val="32"/>
        </w:rPr>
        <w:t>，以及在特定部位、设施、场所和区域实施的伴随风险的作业过程，或以上两者的组合。</w:t>
      </w:r>
    </w:p>
    <w:p w14:paraId="6D3CB3A0">
      <w:pPr>
        <w:autoSpaceDE w:val="0"/>
        <w:autoSpaceDN w:val="0"/>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例如：危险化学品罐区、液氨站、煤气炉、木材仓库、制冷装置是风险点；在罐区进行的倒罐作业、防火区域内进行动火作业、高温液态金属的运输过程等也是风险点。</w:t>
      </w:r>
      <w:bookmarkEnd w:id="21"/>
      <w:bookmarkStart w:id="26" w:name="_Toc453688596"/>
      <w:r>
        <w:rPr>
          <w:rFonts w:hint="eastAsia" w:ascii="仿宋_GB2312" w:hAnsi="仿宋_GB2312" w:eastAsia="仿宋_GB2312" w:cs="仿宋_GB2312"/>
          <w:kern w:val="0"/>
          <w:sz w:val="32"/>
          <w:szCs w:val="32"/>
        </w:rPr>
        <w:t>风险点有时亦称为风险源。</w:t>
      </w:r>
      <w:bookmarkEnd w:id="22"/>
    </w:p>
    <w:p w14:paraId="4E21AA07">
      <w:pPr>
        <w:autoSpaceDE w:val="0"/>
        <w:autoSpaceDN w:val="0"/>
        <w:ind w:firstLine="640" w:firstLineChars="200"/>
        <w:jc w:val="left"/>
        <w:rPr>
          <w:rFonts w:hint="eastAsia" w:ascii="仿宋_GB2312" w:hAnsi="仿宋_GB2312" w:eastAsia="仿宋_GB2312" w:cs="仿宋_GB2312"/>
          <w:kern w:val="0"/>
          <w:sz w:val="32"/>
          <w:szCs w:val="32"/>
        </w:rPr>
      </w:pPr>
      <w:bookmarkStart w:id="27" w:name="_Toc17898"/>
      <w:r>
        <w:rPr>
          <w:rFonts w:hint="eastAsia" w:ascii="仿宋_GB2312" w:hAnsi="仿宋_GB2312" w:eastAsia="仿宋_GB2312" w:cs="仿宋_GB2312"/>
          <w:kern w:val="0"/>
          <w:sz w:val="32"/>
          <w:szCs w:val="32"/>
        </w:rPr>
        <w:t>识别风险点是风险管控的基础。对风险点内的不同危险源或危险有害因素（与风险点相关联的人、物、环境及管理等因素）进行识别、评价，并根据评价结果、风险判定标准认定风险等级，采取不同控制措施是风险分级管控的核心。</w:t>
      </w:r>
      <w:bookmarkEnd w:id="27"/>
    </w:p>
    <w:bookmarkEnd w:id="26"/>
    <w:p w14:paraId="0A2100B2">
      <w:pPr>
        <w:pStyle w:val="3"/>
        <w:spacing w:before="0" w:after="0" w:line="240" w:lineRule="auto"/>
        <w:rPr>
          <w:rFonts w:hint="eastAsia" w:ascii="仿宋_GB2312" w:hAnsi="仿宋_GB2312" w:eastAsia="仿宋_GB2312" w:cs="仿宋_GB2312"/>
          <w:b w:val="0"/>
        </w:rPr>
      </w:pPr>
      <w:bookmarkStart w:id="28" w:name="_Toc466454099"/>
      <w:r>
        <w:rPr>
          <w:rFonts w:hint="eastAsia" w:ascii="仿宋_GB2312" w:hAnsi="仿宋_GB2312" w:eastAsia="仿宋_GB2312" w:cs="仿宋_GB2312"/>
          <w:b w:val="0"/>
        </w:rPr>
        <w:t>5.2  危险源</w:t>
      </w:r>
      <w:bookmarkEnd w:id="28"/>
    </w:p>
    <w:p w14:paraId="48DDE1C0">
      <w:pPr>
        <w:ind w:firstLine="640" w:firstLineChars="200"/>
        <w:rPr>
          <w:rFonts w:hint="eastAsia" w:ascii="仿宋_GB2312" w:hAnsi="仿宋_GB2312" w:eastAsia="仿宋_GB2312" w:cs="仿宋_GB2312"/>
          <w:sz w:val="32"/>
          <w:szCs w:val="32"/>
        </w:rPr>
      </w:pPr>
      <w:bookmarkStart w:id="29" w:name="_Toc433708665"/>
      <w:r>
        <w:rPr>
          <w:rFonts w:hint="eastAsia" w:ascii="仿宋_GB2312" w:hAnsi="仿宋_GB2312" w:eastAsia="仿宋_GB2312" w:cs="仿宋_GB2312"/>
          <w:sz w:val="32"/>
          <w:szCs w:val="32"/>
        </w:rPr>
        <w:t>危险源：</w:t>
      </w:r>
      <w:bookmarkStart w:id="30" w:name="_Toc2063"/>
      <w:bookmarkStart w:id="31" w:name="_Toc453688589"/>
      <w:bookmarkStart w:id="32" w:name="_Toc448219031"/>
      <w:r>
        <w:rPr>
          <w:rFonts w:hint="eastAsia" w:ascii="仿宋_GB2312" w:hAnsi="仿宋_GB2312" w:eastAsia="仿宋_GB2312" w:cs="仿宋_GB2312"/>
          <w:sz w:val="32"/>
          <w:szCs w:val="32"/>
        </w:rPr>
        <w:t>可能导致人身伤害和（或）健康损害和（或）财产损失的根源、状态或行为，或它们的组合。</w:t>
      </w:r>
      <w:bookmarkEnd w:id="30"/>
      <w:bookmarkEnd w:id="31"/>
    </w:p>
    <w:p w14:paraId="624ADCE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注1：</w:t>
      </w:r>
      <w:bookmarkStart w:id="33" w:name="_Toc453688591"/>
    </w:p>
    <w:p w14:paraId="7AF61DB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根源：是指具有能量或产生、释放能量的物理实体或有害物质。如运转着的机械（动能）、人在高处作业（势能）、易燃液体、爆炸品（化学能）、噪声源（声能）、粉尘源、致病微生物（有害物质）等等。</w:t>
      </w:r>
      <w:bookmarkEnd w:id="33"/>
      <w:bookmarkStart w:id="34" w:name="_Toc453688592"/>
    </w:p>
    <w:p w14:paraId="20CA441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行为：是指决策人员、管理人员以及从业人员不当的决策行为、管理行为以及作业行为。</w:t>
      </w:r>
      <w:bookmarkEnd w:id="34"/>
      <w:r>
        <w:rPr>
          <w:rFonts w:hint="eastAsia" w:ascii="仿宋_GB2312" w:hAnsi="仿宋_GB2312" w:eastAsia="仿宋_GB2312" w:cs="仿宋_GB2312"/>
          <w:sz w:val="32"/>
          <w:szCs w:val="32"/>
        </w:rPr>
        <w:t>如指挥失误、操作错误、监护失误、未佩带劳动保护用品等。</w:t>
      </w:r>
    </w:p>
    <w:p w14:paraId="5C938C00">
      <w:pPr>
        <w:ind w:firstLine="640" w:firstLineChars="200"/>
        <w:rPr>
          <w:rFonts w:hint="eastAsia" w:ascii="仿宋_GB2312" w:hAnsi="仿宋_GB2312" w:eastAsia="仿宋_GB2312" w:cs="仿宋_GB2312"/>
          <w:sz w:val="32"/>
          <w:szCs w:val="32"/>
        </w:rPr>
      </w:pPr>
      <w:bookmarkStart w:id="35" w:name="_Toc453688593"/>
      <w:r>
        <w:rPr>
          <w:rFonts w:hint="eastAsia" w:ascii="仿宋_GB2312" w:hAnsi="仿宋_GB2312" w:eastAsia="仿宋_GB2312" w:cs="仿宋_GB2312"/>
          <w:sz w:val="32"/>
          <w:szCs w:val="32"/>
        </w:rPr>
        <w:t>状态：是指不良的物的状态和环境的状态等。</w:t>
      </w:r>
      <w:bookmarkEnd w:id="35"/>
      <w:r>
        <w:rPr>
          <w:rFonts w:hint="eastAsia" w:ascii="仿宋_GB2312" w:hAnsi="仿宋_GB2312" w:eastAsia="仿宋_GB2312" w:cs="仿宋_GB2312"/>
          <w:sz w:val="32"/>
          <w:szCs w:val="32"/>
        </w:rPr>
        <w:t>如强度不够、无防护、带电部件裸露、高温环境等。</w:t>
      </w:r>
    </w:p>
    <w:bookmarkEnd w:id="32"/>
    <w:p w14:paraId="7531D820">
      <w:pPr>
        <w:pStyle w:val="3"/>
        <w:spacing w:before="0" w:after="0" w:line="240" w:lineRule="auto"/>
        <w:rPr>
          <w:rFonts w:hint="eastAsia" w:ascii="仿宋_GB2312" w:hAnsi="仿宋_GB2312" w:eastAsia="仿宋_GB2312" w:cs="仿宋_GB2312"/>
          <w:b w:val="0"/>
        </w:rPr>
      </w:pPr>
      <w:bookmarkStart w:id="36" w:name="_Toc466454100"/>
      <w:bookmarkStart w:id="37" w:name="_Toc448219035"/>
      <w:r>
        <w:rPr>
          <w:rFonts w:hint="eastAsia" w:ascii="仿宋_GB2312" w:hAnsi="仿宋_GB2312" w:eastAsia="仿宋_GB2312" w:cs="仿宋_GB2312"/>
          <w:b w:val="0"/>
        </w:rPr>
        <w:t>5.3  风险</w:t>
      </w:r>
      <w:bookmarkEnd w:id="36"/>
    </w:p>
    <w:p w14:paraId="798F636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发生危险事件或有暴露的可能性，与随之引发的人身伤害和（或）健康损害和（或）财产损失的组合。</w:t>
      </w:r>
    </w:p>
    <w:p w14:paraId="473E4B9A">
      <w:pPr>
        <w:pStyle w:val="3"/>
        <w:spacing w:before="0" w:after="0" w:line="240" w:lineRule="auto"/>
        <w:rPr>
          <w:rFonts w:hint="eastAsia" w:ascii="仿宋_GB2312" w:hAnsi="仿宋_GB2312" w:eastAsia="仿宋_GB2312" w:cs="仿宋_GB2312"/>
          <w:b w:val="0"/>
        </w:rPr>
      </w:pPr>
      <w:bookmarkStart w:id="38" w:name="_Toc466454101"/>
      <w:r>
        <w:rPr>
          <w:rFonts w:hint="eastAsia" w:ascii="仿宋_GB2312" w:hAnsi="仿宋_GB2312" w:eastAsia="仿宋_GB2312" w:cs="仿宋_GB2312"/>
          <w:b w:val="0"/>
        </w:rPr>
        <w:t>5.4  危险源辨识</w:t>
      </w:r>
      <w:bookmarkEnd w:id="38"/>
    </w:p>
    <w:p w14:paraId="03F64D9D">
      <w:pPr>
        <w:ind w:firstLine="640" w:firstLineChars="200"/>
        <w:rPr>
          <w:rFonts w:hint="eastAsia" w:ascii="仿宋_GB2312" w:hAnsi="仿宋_GB2312" w:eastAsia="仿宋_GB2312" w:cs="仿宋_GB2312"/>
          <w:sz w:val="32"/>
          <w:szCs w:val="32"/>
        </w:rPr>
      </w:pPr>
      <w:bookmarkStart w:id="39" w:name="_Toc453688605"/>
      <w:r>
        <w:rPr>
          <w:rFonts w:hint="eastAsia" w:ascii="仿宋_GB2312" w:hAnsi="仿宋_GB2312" w:eastAsia="仿宋_GB2312" w:cs="仿宋_GB2312"/>
          <w:sz w:val="32"/>
          <w:szCs w:val="32"/>
        </w:rPr>
        <w:t>危险源辨识是识别危险源的存在并确定其特性的过程。（引自GB/T28001-2011 《职业健康安全管理体系要求》）</w:t>
      </w:r>
      <w:bookmarkEnd w:id="39"/>
    </w:p>
    <w:p w14:paraId="05DEF821">
      <w:pPr>
        <w:pStyle w:val="3"/>
        <w:spacing w:before="0" w:after="0" w:line="240" w:lineRule="auto"/>
        <w:rPr>
          <w:rFonts w:hint="eastAsia" w:ascii="仿宋_GB2312" w:hAnsi="仿宋_GB2312" w:eastAsia="仿宋_GB2312" w:cs="仿宋_GB2312"/>
          <w:b w:val="0"/>
        </w:rPr>
      </w:pPr>
      <w:bookmarkStart w:id="40" w:name="_Toc466454102"/>
      <w:r>
        <w:rPr>
          <w:rFonts w:hint="eastAsia" w:ascii="仿宋_GB2312" w:hAnsi="仿宋_GB2312" w:eastAsia="仿宋_GB2312" w:cs="仿宋_GB2312"/>
          <w:b w:val="0"/>
        </w:rPr>
        <w:t>5.5  风险评价</w:t>
      </w:r>
      <w:bookmarkEnd w:id="40"/>
    </w:p>
    <w:p w14:paraId="1E8A653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对危险源导致的风险进行评估、对现有控制措施的充分性加以考虑以及对风险是否可接受予以确定的过程（引自GB/T28001-2011 《职业健康安全管理体系要求》。</w:t>
      </w:r>
    </w:p>
    <w:p w14:paraId="7C36110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风险评价的对象可针对危险源，即生产经营活动中所涉及的设施、设备、装置、区域、安全管理等实际状况进行评价，也可针对危险源内的不同危险源（与危险源相关联的人、物、环境及管理等因素）的风险进行评价。</w:t>
      </w:r>
    </w:p>
    <w:p w14:paraId="1D96B732">
      <w:pPr>
        <w:pStyle w:val="3"/>
        <w:spacing w:before="0" w:after="0" w:line="240" w:lineRule="auto"/>
        <w:rPr>
          <w:rFonts w:hint="eastAsia" w:ascii="仿宋_GB2312" w:hAnsi="仿宋_GB2312" w:eastAsia="仿宋_GB2312" w:cs="仿宋_GB2312"/>
          <w:b w:val="0"/>
        </w:rPr>
      </w:pPr>
      <w:bookmarkStart w:id="41" w:name="_Toc466454103"/>
      <w:r>
        <w:rPr>
          <w:rFonts w:hint="eastAsia" w:ascii="仿宋_GB2312" w:hAnsi="仿宋_GB2312" w:eastAsia="仿宋_GB2312" w:cs="仿宋_GB2312"/>
          <w:b w:val="0"/>
        </w:rPr>
        <w:t>5.6  风险分级</w:t>
      </w:r>
      <w:bookmarkEnd w:id="41"/>
    </w:p>
    <w:p w14:paraId="52BB167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风险分级是指通过采用科学、合理方法对危险源所伴随的风险进行定量或定性评价，根据评价结果划分等级，进而实现分级管理。</w:t>
      </w:r>
    </w:p>
    <w:p w14:paraId="62A55FDA">
      <w:pPr>
        <w:pStyle w:val="3"/>
        <w:spacing w:before="0" w:after="0" w:line="240" w:lineRule="auto"/>
        <w:rPr>
          <w:rFonts w:hint="eastAsia" w:ascii="仿宋_GB2312" w:hAnsi="仿宋_GB2312" w:eastAsia="仿宋_GB2312" w:cs="仿宋_GB2312"/>
          <w:b w:val="0"/>
        </w:rPr>
      </w:pPr>
      <w:bookmarkStart w:id="42" w:name="_Toc466454104"/>
      <w:r>
        <w:rPr>
          <w:rFonts w:hint="eastAsia" w:ascii="仿宋_GB2312" w:hAnsi="仿宋_GB2312" w:eastAsia="仿宋_GB2312" w:cs="仿宋_GB2312"/>
          <w:b w:val="0"/>
        </w:rPr>
        <w:t>5.7  风险分级管控</w:t>
      </w:r>
      <w:bookmarkEnd w:id="42"/>
    </w:p>
    <w:p w14:paraId="0A06E86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风险分级管控是指按照风险不同级别、所需管控资源、管控能力、管控措施复杂及难易程度等因素而确定不同管控层级的风险管控方式。</w:t>
      </w:r>
    </w:p>
    <w:p w14:paraId="69326989">
      <w:pPr>
        <w:pStyle w:val="3"/>
        <w:spacing w:before="0" w:after="0" w:line="240" w:lineRule="auto"/>
        <w:rPr>
          <w:rFonts w:hint="eastAsia" w:ascii="仿宋_GB2312" w:hAnsi="仿宋_GB2312" w:eastAsia="仿宋_GB2312" w:cs="仿宋_GB2312"/>
          <w:b w:val="0"/>
        </w:rPr>
      </w:pPr>
      <w:bookmarkStart w:id="43" w:name="_Toc466454105"/>
      <w:r>
        <w:rPr>
          <w:rFonts w:hint="eastAsia" w:ascii="仿宋_GB2312" w:hAnsi="仿宋_GB2312" w:eastAsia="仿宋_GB2312" w:cs="仿宋_GB2312"/>
          <w:b w:val="0"/>
        </w:rPr>
        <w:t>5.8  风险信息</w:t>
      </w:r>
      <w:bookmarkEnd w:id="43"/>
    </w:p>
    <w:p w14:paraId="3D2759B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风险信息是指包括危险源名称、类型、所在位置、当前状况以及伴随风险大小等级、所需管控措施、责任单位、责任人等一系列信息的综合。</w:t>
      </w:r>
    </w:p>
    <w:p w14:paraId="17BC4BF6">
      <w:pPr>
        <w:outlineLvl w:val="1"/>
        <w:rPr>
          <w:rFonts w:hint="eastAsia" w:ascii="仿宋_GB2312" w:hAnsi="仿宋_GB2312" w:eastAsia="仿宋_GB2312" w:cs="仿宋_GB2312"/>
          <w:sz w:val="32"/>
          <w:szCs w:val="32"/>
        </w:rPr>
      </w:pPr>
      <w:bookmarkStart w:id="44" w:name="_Toc466454106"/>
      <w:r>
        <w:rPr>
          <w:rFonts w:hint="eastAsia" w:ascii="仿宋_GB2312" w:hAnsi="仿宋_GB2312" w:eastAsia="仿宋_GB2312" w:cs="仿宋_GB2312"/>
          <w:sz w:val="32"/>
          <w:szCs w:val="32"/>
        </w:rPr>
        <w:t>6  风险分级管控概述</w:t>
      </w:r>
      <w:bookmarkEnd w:id="44"/>
    </w:p>
    <w:p w14:paraId="04EC3D1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风险分级管控的建立和实施活动通常包括：作业活动的划分、危险源辨识、风险评价分级和风险控制措施策划，具体见图1。</w:t>
      </w:r>
    </w:p>
    <w:p w14:paraId="03110BD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pict>
          <v:group id="_x0000_s1081" o:spid="_x0000_s1081" o:spt="203" style="position:absolute;left:0pt;margin-left:22.2pt;margin-top:13.1pt;height:113pt;width:397.95pt;z-index:251663360;mso-width-relative:page;mso-height-relative:page;" coordorigin="1658,4856" coordsize="7959,2260">
            <o:lock v:ext="edit"/>
            <v:rect id="_x0000_s1070" o:spid="_x0000_s1070" o:spt="1" style="position:absolute;left:1658;top:4856;height:2260;width:803;" coordsize="21600,21600">
              <v:path/>
              <v:fill focussize="0,0"/>
              <v:stroke/>
              <v:imagedata o:title=""/>
              <o:lock v:ext="edit"/>
              <v:textbox style="layout-flow:vertical-ideographic;">
                <w:txbxContent>
                  <w:p w14:paraId="78B3A8C8">
                    <w:pPr>
                      <w:jc w:val="center"/>
                      <w:rPr>
                        <w:sz w:val="24"/>
                        <w:szCs w:val="24"/>
                      </w:rPr>
                    </w:pPr>
                    <w:r>
                      <w:rPr>
                        <w:rFonts w:hint="eastAsia"/>
                        <w:sz w:val="24"/>
                        <w:szCs w:val="24"/>
                      </w:rPr>
                      <w:t>作业活动划分</w:t>
                    </w:r>
                  </w:p>
                </w:txbxContent>
              </v:textbox>
            </v:rect>
            <v:rect id="_x0000_s1071" o:spid="_x0000_s1071" o:spt="1" style="position:absolute;left:3065;top:4856;height:2260;width:803;" coordsize="21600,21600">
              <v:path/>
              <v:fill focussize="0,0"/>
              <v:stroke/>
              <v:imagedata o:title=""/>
              <o:lock v:ext="edit"/>
              <v:textbox style="layout-flow:vertical-ideographic;">
                <w:txbxContent>
                  <w:p w14:paraId="2F8A8833">
                    <w:pPr>
                      <w:jc w:val="center"/>
                      <w:rPr>
                        <w:sz w:val="24"/>
                        <w:szCs w:val="24"/>
                      </w:rPr>
                    </w:pPr>
                    <w:r>
                      <w:rPr>
                        <w:rFonts w:hint="eastAsia"/>
                        <w:sz w:val="24"/>
                        <w:szCs w:val="24"/>
                      </w:rPr>
                      <w:t>危险源辨识</w:t>
                    </w:r>
                  </w:p>
                </w:txbxContent>
              </v:textbox>
            </v:rect>
            <v:rect id="_x0000_s1072" o:spid="_x0000_s1072" o:spt="1" style="position:absolute;left:4486;top:4856;height:2260;width:803;" coordsize="21600,21600">
              <v:path/>
              <v:fill focussize="0,0"/>
              <v:stroke/>
              <v:imagedata o:title=""/>
              <o:lock v:ext="edit"/>
              <v:textbox style="layout-flow:vertical-ideographic;">
                <w:txbxContent>
                  <w:p w14:paraId="03DD35FC">
                    <w:pPr>
                      <w:jc w:val="center"/>
                      <w:rPr>
                        <w:sz w:val="24"/>
                        <w:szCs w:val="24"/>
                      </w:rPr>
                    </w:pPr>
                    <w:r>
                      <w:rPr>
                        <w:rFonts w:hint="eastAsia"/>
                        <w:sz w:val="24"/>
                        <w:szCs w:val="24"/>
                      </w:rPr>
                      <w:t>风险评价、分级</w:t>
                    </w:r>
                  </w:p>
                </w:txbxContent>
              </v:textbox>
            </v:rect>
            <v:rect id="_x0000_s1073" o:spid="_x0000_s1073" o:spt="1" style="position:absolute;left:5918;top:4856;height:2260;width:803;" coordsize="21600,21600">
              <v:path/>
              <v:fill focussize="0,0"/>
              <v:stroke/>
              <v:imagedata o:title=""/>
              <o:lock v:ext="edit"/>
              <v:textbox style="layout-flow:vertical-ideographic;">
                <w:txbxContent>
                  <w:p w14:paraId="1357CB1B">
                    <w:pPr>
                      <w:jc w:val="center"/>
                      <w:rPr>
                        <w:sz w:val="24"/>
                        <w:szCs w:val="24"/>
                      </w:rPr>
                    </w:pPr>
                    <w:r>
                      <w:rPr>
                        <w:rFonts w:hint="eastAsia"/>
                        <w:sz w:val="24"/>
                        <w:szCs w:val="24"/>
                      </w:rPr>
                      <w:t>控制措施的确定</w:t>
                    </w:r>
                  </w:p>
                </w:txbxContent>
              </v:textbox>
            </v:rect>
            <v:rect id="_x0000_s1074" o:spid="_x0000_s1074" o:spt="1" style="position:absolute;left:7362;top:4856;height:2260;width:803;" coordsize="21600,21600">
              <v:path/>
              <v:fill focussize="0,0"/>
              <v:stroke/>
              <v:imagedata o:title=""/>
              <o:lock v:ext="edit"/>
              <v:textbox style="layout-flow:vertical-ideographic;">
                <w:txbxContent>
                  <w:p w14:paraId="1D00AC85">
                    <w:pPr>
                      <w:rPr>
                        <w:sz w:val="24"/>
                        <w:szCs w:val="24"/>
                      </w:rPr>
                    </w:pPr>
                    <w:r>
                      <w:rPr>
                        <w:rFonts w:hint="eastAsia"/>
                        <w:sz w:val="24"/>
                        <w:szCs w:val="24"/>
                      </w:rPr>
                      <w:t>危险源管控责任划分</w:t>
                    </w:r>
                  </w:p>
                </w:txbxContent>
              </v:textbox>
            </v:rect>
            <v:rect id="_x0000_s1075" o:spid="_x0000_s1075" o:spt="1" style="position:absolute;left:8814;top:4856;height:2260;width:803;" coordsize="21600,21600">
              <v:path/>
              <v:fill focussize="0,0"/>
              <v:stroke/>
              <v:imagedata o:title=""/>
              <o:lock v:ext="edit"/>
              <v:textbox style="layout-flow:vertical-ideographic;">
                <w:txbxContent>
                  <w:p w14:paraId="3EB9EF67">
                    <w:pPr>
                      <w:jc w:val="center"/>
                      <w:rPr>
                        <w:sz w:val="24"/>
                        <w:szCs w:val="24"/>
                      </w:rPr>
                    </w:pPr>
                    <w:r>
                      <w:rPr>
                        <w:rFonts w:hint="eastAsia"/>
                        <w:sz w:val="24"/>
                        <w:szCs w:val="24"/>
                      </w:rPr>
                      <w:t>危险源分级管控</w:t>
                    </w:r>
                  </w:p>
                </w:txbxContent>
              </v:textbox>
            </v:rect>
            <v:shape id="_x0000_s1076" o:spid="_x0000_s1076" o:spt="32" type="#_x0000_t32" style="position:absolute;left:2461;top:5978;height:0;width:604;" o:connectortype="straight" filled="f" coordsize="21600,21600">
              <v:path arrowok="t"/>
              <v:fill on="f" focussize="0,0"/>
              <v:stroke endarrow="block"/>
              <v:imagedata o:title=""/>
              <o:lock v:ext="edit"/>
            </v:shape>
            <v:shape id="_x0000_s1077" o:spid="_x0000_s1077" o:spt="32" type="#_x0000_t32" style="position:absolute;left:3868;top:5978;height:0;width:604;" o:connectortype="straight" filled="f" coordsize="21600,21600">
              <v:path arrowok="t"/>
              <v:fill on="f" focussize="0,0"/>
              <v:stroke endarrow="block"/>
              <v:imagedata o:title=""/>
              <o:lock v:ext="edit"/>
            </v:shape>
            <v:shape id="_x0000_s1078" o:spid="_x0000_s1078" o:spt="32" type="#_x0000_t32" style="position:absolute;left:5289;top:5978;height:0;width:604;" o:connectortype="straight" filled="f" coordsize="21600,21600">
              <v:path arrowok="t"/>
              <v:fill on="f" focussize="0,0"/>
              <v:stroke endarrow="block"/>
              <v:imagedata o:title=""/>
              <o:lock v:ext="edit"/>
            </v:shape>
            <v:shape id="_x0000_s1079" o:spid="_x0000_s1079" o:spt="32" type="#_x0000_t32" style="position:absolute;left:6721;top:5978;height:0;width:604;" o:connectortype="straight" filled="f" coordsize="21600,21600">
              <v:path arrowok="t"/>
              <v:fill on="f" focussize="0,0"/>
              <v:stroke endarrow="block"/>
              <v:imagedata o:title=""/>
              <o:lock v:ext="edit"/>
            </v:shape>
            <v:shape id="_x0000_s1080" o:spid="_x0000_s1080" o:spt="32" type="#_x0000_t32" style="position:absolute;left:8165;top:5978;height:0;width:604;" o:connectortype="straight" filled="f" coordsize="21600,21600">
              <v:path arrowok="t"/>
              <v:fill on="f" focussize="0,0"/>
              <v:stroke endarrow="block"/>
              <v:imagedata o:title=""/>
              <o:lock v:ext="edit"/>
            </v:shape>
          </v:group>
        </w:pict>
      </w:r>
    </w:p>
    <w:p w14:paraId="70A62239">
      <w:pPr>
        <w:rPr>
          <w:rFonts w:hint="eastAsia" w:ascii="仿宋_GB2312" w:hAnsi="仿宋_GB2312" w:eastAsia="仿宋_GB2312" w:cs="仿宋_GB2312"/>
          <w:sz w:val="32"/>
          <w:szCs w:val="32"/>
        </w:rPr>
      </w:pPr>
    </w:p>
    <w:p w14:paraId="16DD2F55">
      <w:pPr>
        <w:rPr>
          <w:rFonts w:hint="eastAsia" w:ascii="仿宋_GB2312" w:hAnsi="仿宋_GB2312" w:eastAsia="仿宋_GB2312" w:cs="仿宋_GB2312"/>
          <w:sz w:val="32"/>
          <w:szCs w:val="32"/>
        </w:rPr>
      </w:pPr>
    </w:p>
    <w:p w14:paraId="4980EC61">
      <w:pPr>
        <w:ind w:firstLine="640" w:firstLineChars="200"/>
        <w:rPr>
          <w:rFonts w:hint="eastAsia" w:ascii="仿宋_GB2312" w:hAnsi="仿宋_GB2312" w:eastAsia="仿宋_GB2312" w:cs="仿宋_GB2312"/>
          <w:sz w:val="32"/>
          <w:szCs w:val="32"/>
        </w:rPr>
      </w:pPr>
    </w:p>
    <w:p w14:paraId="622D6FEF">
      <w:pPr>
        <w:jc w:val="center"/>
        <w:rPr>
          <w:rFonts w:hint="eastAsia" w:ascii="仿宋_GB2312" w:hAnsi="仿宋_GB2312" w:eastAsia="仿宋_GB2312" w:cs="仿宋_GB2312"/>
          <w:sz w:val="24"/>
          <w:szCs w:val="24"/>
        </w:rPr>
      </w:pPr>
    </w:p>
    <w:p w14:paraId="015C3A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图1  危险源辨识、风险评价和风险控制策划的基本步骤</w:t>
      </w:r>
    </w:p>
    <w:bookmarkEnd w:id="0"/>
    <w:bookmarkEnd w:id="29"/>
    <w:bookmarkEnd w:id="37"/>
    <w:p w14:paraId="59881942">
      <w:pPr>
        <w:tabs>
          <w:tab w:val="left" w:pos="840"/>
        </w:tabs>
        <w:outlineLvl w:val="0"/>
        <w:rPr>
          <w:rFonts w:hint="eastAsia" w:ascii="仿宋_GB2312" w:hAnsi="仿宋_GB2312" w:eastAsia="仿宋_GB2312" w:cs="仿宋_GB2312"/>
          <w:sz w:val="32"/>
          <w:szCs w:val="32"/>
        </w:rPr>
      </w:pPr>
      <w:bookmarkStart w:id="45" w:name="_Toc466454107"/>
      <w:bookmarkStart w:id="46" w:name="_Toc448219038"/>
      <w:bookmarkStart w:id="47" w:name="_Toc447207382"/>
      <w:bookmarkStart w:id="48" w:name="_Toc191960550"/>
      <w:bookmarkStart w:id="49" w:name="_Toc300841019"/>
      <w:r>
        <w:rPr>
          <w:rFonts w:hint="eastAsia" w:ascii="仿宋_GB2312" w:hAnsi="仿宋_GB2312" w:eastAsia="仿宋_GB2312" w:cs="仿宋_GB2312"/>
          <w:sz w:val="32"/>
          <w:szCs w:val="32"/>
        </w:rPr>
        <w:t>7  风险点识别与分级</w:t>
      </w:r>
      <w:bookmarkEnd w:id="45"/>
    </w:p>
    <w:p w14:paraId="768449A3">
      <w:pPr>
        <w:tabs>
          <w:tab w:val="left" w:pos="840"/>
        </w:tabs>
        <w:outlineLvl w:val="0"/>
        <w:rPr>
          <w:rFonts w:hint="eastAsia" w:ascii="仿宋_GB2312" w:hAnsi="仿宋_GB2312" w:eastAsia="仿宋_GB2312" w:cs="仿宋_GB2312"/>
          <w:bCs/>
          <w:sz w:val="32"/>
          <w:szCs w:val="32"/>
        </w:rPr>
      </w:pPr>
      <w:bookmarkStart w:id="50" w:name="_Toc466454108"/>
      <w:r>
        <w:rPr>
          <w:rFonts w:hint="eastAsia" w:ascii="仿宋_GB2312" w:hAnsi="仿宋_GB2312" w:eastAsia="仿宋_GB2312" w:cs="仿宋_GB2312"/>
          <w:sz w:val="32"/>
          <w:szCs w:val="32"/>
        </w:rPr>
        <w:t xml:space="preserve">7.1  </w:t>
      </w:r>
      <w:r>
        <w:rPr>
          <w:rFonts w:hint="eastAsia" w:ascii="仿宋_GB2312" w:hAnsi="仿宋_GB2312" w:eastAsia="仿宋_GB2312" w:cs="仿宋_GB2312"/>
          <w:bCs/>
          <w:sz w:val="32"/>
          <w:szCs w:val="32"/>
        </w:rPr>
        <w:t>风险点识别（单元划分）</w:t>
      </w:r>
      <w:bookmarkEnd w:id="50"/>
    </w:p>
    <w:p w14:paraId="372C21DF">
      <w:pPr>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风险点的划分应当遵循大小适中、便于分类、功能独立、易于管理、范围清晰的原则。</w:t>
      </w:r>
    </w:p>
    <w:p w14:paraId="67E1F49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每个风险点可按车间、班组、岗位所管辖的区域，以区域内活动、过程及所包含的设施设备为内容对识别单元再进行细分，形成相对独立的“模块”单元。</w:t>
      </w:r>
    </w:p>
    <w:p w14:paraId="07F37D5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示例1：例如：生产车间区域单元划分，按照工艺为划分为洗车、收奶、预处理、杀菌、灌装、包装、成品入库、CIP清洗等“模块”单元；每个一级子“模块”单元内部划分为多个二级子系统，例如：预处理“模块”单元中又划分为配料、巴杀、贮存三个二级子单元，对所有生产场所进行全覆盖辨识。</w:t>
      </w:r>
    </w:p>
    <w:p w14:paraId="7FE0F9A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示例2、灌装区域按“工作任务”可划分为清洗、准备、日护养、维修保养、升温、生产等，每项“工作任务”又可分为若干作业步骤，如日护养可分为检查滚轮、夹爪、终端、油位、电眼位置等作业步骤。</w:t>
      </w:r>
    </w:p>
    <w:p w14:paraId="6432FC9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识别单元的划分原则，所划分出的每种作业活动既不能太复杂，如包含多达几十个作业步骤或作业内容；也不能太简单，如仅由一、两个作业步骤或作业内容构成。</w:t>
      </w:r>
    </w:p>
    <w:p w14:paraId="38854BE2">
      <w:pPr>
        <w:tabs>
          <w:tab w:val="left" w:pos="840"/>
        </w:tabs>
        <w:outlineLvl w:val="0"/>
        <w:rPr>
          <w:rFonts w:hint="eastAsia" w:ascii="仿宋_GB2312" w:hAnsi="仿宋_GB2312" w:eastAsia="仿宋_GB2312" w:cs="仿宋_GB2312"/>
          <w:bCs/>
          <w:sz w:val="32"/>
          <w:szCs w:val="32"/>
        </w:rPr>
      </w:pPr>
      <w:bookmarkStart w:id="51" w:name="_Toc466454109"/>
      <w:r>
        <w:rPr>
          <w:rFonts w:hint="eastAsia" w:ascii="仿宋_GB2312" w:hAnsi="仿宋_GB2312" w:eastAsia="仿宋_GB2312" w:cs="仿宋_GB2312"/>
          <w:bCs/>
          <w:sz w:val="32"/>
          <w:szCs w:val="32"/>
        </w:rPr>
        <w:t>7.2  风险点的确定</w:t>
      </w:r>
      <w:bookmarkEnd w:id="51"/>
    </w:p>
    <w:p w14:paraId="1E0EC59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风险点可明确到特定的部位、设施、场所和区域，以及在特定部位、设施、场所和区域实施的伴随风险的作业过程，作为危险源辨识的基本单元，即确定的“风险点”。</w:t>
      </w:r>
    </w:p>
    <w:p w14:paraId="2A702C4D">
      <w:pPr>
        <w:tabs>
          <w:tab w:val="left" w:pos="840"/>
        </w:tabs>
        <w:outlineLvl w:val="0"/>
        <w:rPr>
          <w:rFonts w:hint="eastAsia" w:ascii="仿宋_GB2312" w:hAnsi="仿宋_GB2312" w:eastAsia="仿宋_GB2312" w:cs="仿宋_GB2312"/>
          <w:bCs/>
          <w:sz w:val="32"/>
          <w:szCs w:val="32"/>
        </w:rPr>
      </w:pPr>
      <w:bookmarkStart w:id="52" w:name="_Toc466454110"/>
      <w:r>
        <w:rPr>
          <w:rFonts w:hint="eastAsia" w:ascii="仿宋_GB2312" w:hAnsi="仿宋_GB2312" w:eastAsia="仿宋_GB2312" w:cs="仿宋_GB2312"/>
          <w:bCs/>
          <w:sz w:val="32"/>
          <w:szCs w:val="32"/>
        </w:rPr>
        <w:t>7.3  风险点</w:t>
      </w:r>
      <w:bookmarkEnd w:id="52"/>
      <w:r>
        <w:rPr>
          <w:rFonts w:hint="eastAsia" w:ascii="仿宋_GB2312" w:hAnsi="仿宋_GB2312" w:eastAsia="仿宋_GB2312" w:cs="仿宋_GB2312"/>
          <w:bCs/>
          <w:sz w:val="32"/>
          <w:szCs w:val="32"/>
        </w:rPr>
        <w:t>分级标准</w:t>
      </w:r>
    </w:p>
    <w:p w14:paraId="70409D1E">
      <w:pPr>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风险点所包含的危险源最高级别即为该风险点的级别。具体分级标准如下：</w:t>
      </w:r>
    </w:p>
    <w:p w14:paraId="637A821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排查出来的风险点进行分级，先确定风险类别（泄漏、火灾、爆炸、中毒、坍塌、坠落等危险因素和高温、粉尘、有毒物质等有害因素），然后按照危险程度及可能造成后果的严重性，将风险分为1、2、3、4级（1级最危险，依次降低）,以后果为基础风险点分级标准见表1。</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7"/>
        <w:gridCol w:w="7684"/>
      </w:tblGrid>
      <w:tr w14:paraId="694F1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47" w:type="dxa"/>
            <w:shd w:val="clear" w:color="auto" w:fill="auto"/>
          </w:tcPr>
          <w:p w14:paraId="352B805D">
            <w:pPr>
              <w:rPr>
                <w:rFonts w:hint="eastAsia" w:ascii="仿宋_GB2312" w:hAnsi="仿宋_GB2312" w:eastAsia="仿宋_GB2312" w:cs="仿宋_GB2312"/>
                <w:szCs w:val="21"/>
              </w:rPr>
            </w:pPr>
            <w:r>
              <w:rPr>
                <w:rFonts w:hint="eastAsia" w:ascii="仿宋_GB2312" w:hAnsi="仿宋_GB2312" w:eastAsia="仿宋_GB2312" w:cs="仿宋_GB2312"/>
                <w:szCs w:val="21"/>
              </w:rPr>
              <w:t>等级</w:t>
            </w:r>
          </w:p>
        </w:tc>
        <w:tc>
          <w:tcPr>
            <w:tcW w:w="7684" w:type="dxa"/>
            <w:shd w:val="clear" w:color="auto" w:fill="auto"/>
          </w:tcPr>
          <w:p w14:paraId="79800D37">
            <w:pPr>
              <w:rPr>
                <w:rFonts w:hint="eastAsia" w:ascii="仿宋_GB2312" w:hAnsi="仿宋_GB2312" w:eastAsia="仿宋_GB2312" w:cs="仿宋_GB2312"/>
                <w:szCs w:val="21"/>
              </w:rPr>
            </w:pPr>
            <w:r>
              <w:rPr>
                <w:rFonts w:hint="eastAsia" w:ascii="仿宋_GB2312" w:hAnsi="仿宋_GB2312" w:eastAsia="仿宋_GB2312" w:cs="仿宋_GB2312"/>
                <w:szCs w:val="21"/>
              </w:rPr>
              <w:t>分级标准</w:t>
            </w:r>
          </w:p>
        </w:tc>
      </w:tr>
      <w:tr w14:paraId="580A7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247" w:type="dxa"/>
            <w:shd w:val="clear" w:color="auto" w:fill="auto"/>
          </w:tcPr>
          <w:p w14:paraId="6D47E465">
            <w:pPr>
              <w:rPr>
                <w:rFonts w:hint="eastAsia" w:ascii="仿宋_GB2312" w:hAnsi="仿宋_GB2312" w:eastAsia="仿宋_GB2312" w:cs="仿宋_GB2312"/>
                <w:szCs w:val="21"/>
              </w:rPr>
            </w:pPr>
            <w:r>
              <w:rPr>
                <w:rFonts w:hint="eastAsia" w:ascii="仿宋_GB2312" w:hAnsi="仿宋_GB2312" w:eastAsia="仿宋_GB2312" w:cs="仿宋_GB2312"/>
                <w:szCs w:val="21"/>
              </w:rPr>
              <w:t>一级风险</w:t>
            </w:r>
          </w:p>
        </w:tc>
        <w:tc>
          <w:tcPr>
            <w:tcW w:w="7684" w:type="dxa"/>
            <w:shd w:val="clear" w:color="auto" w:fill="auto"/>
          </w:tcPr>
          <w:p w14:paraId="64567AB2">
            <w:pPr>
              <w:rPr>
                <w:rFonts w:hint="eastAsia" w:ascii="仿宋_GB2312" w:hAnsi="仿宋_GB2312" w:eastAsia="仿宋_GB2312" w:cs="仿宋_GB2312"/>
                <w:szCs w:val="21"/>
              </w:rPr>
            </w:pPr>
            <w:r>
              <w:rPr>
                <w:rFonts w:hint="eastAsia" w:ascii="仿宋_GB2312" w:hAnsi="仿宋_GB2312" w:eastAsia="仿宋_GB2312" w:cs="仿宋_GB2312"/>
                <w:szCs w:val="21"/>
              </w:rPr>
              <w:t>指该风险点一旦发生事故，可能导致较大以上事故，即指能造成3人以上死亡，或者10人以上重伤，或者1000万元以上直接经济损失的事故；</w:t>
            </w:r>
          </w:p>
        </w:tc>
      </w:tr>
      <w:tr w14:paraId="61D6C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trPr>
        <w:tc>
          <w:tcPr>
            <w:tcW w:w="1247" w:type="dxa"/>
            <w:shd w:val="clear" w:color="auto" w:fill="auto"/>
          </w:tcPr>
          <w:p w14:paraId="7152544E">
            <w:pPr>
              <w:rPr>
                <w:rFonts w:hint="eastAsia" w:ascii="仿宋_GB2312" w:hAnsi="仿宋_GB2312" w:eastAsia="仿宋_GB2312" w:cs="仿宋_GB2312"/>
                <w:szCs w:val="21"/>
              </w:rPr>
            </w:pPr>
            <w:r>
              <w:rPr>
                <w:rFonts w:hint="eastAsia" w:ascii="仿宋_GB2312" w:hAnsi="仿宋_GB2312" w:eastAsia="仿宋_GB2312" w:cs="仿宋_GB2312"/>
                <w:szCs w:val="21"/>
              </w:rPr>
              <w:t>二级风险</w:t>
            </w:r>
          </w:p>
        </w:tc>
        <w:tc>
          <w:tcPr>
            <w:tcW w:w="7684" w:type="dxa"/>
            <w:shd w:val="clear" w:color="auto" w:fill="auto"/>
          </w:tcPr>
          <w:p w14:paraId="30855864">
            <w:pPr>
              <w:rPr>
                <w:rFonts w:hint="eastAsia" w:ascii="仿宋_GB2312" w:hAnsi="仿宋_GB2312" w:eastAsia="仿宋_GB2312" w:cs="仿宋_GB2312"/>
                <w:szCs w:val="21"/>
              </w:rPr>
            </w:pPr>
            <w:r>
              <w:rPr>
                <w:rFonts w:hint="eastAsia" w:ascii="仿宋_GB2312" w:hAnsi="仿宋_GB2312" w:eastAsia="仿宋_GB2312" w:cs="仿宋_GB2312"/>
                <w:szCs w:val="21"/>
              </w:rPr>
              <w:t>指该风险点一旦发生发生事故，可能导致一般事故，即指能造成3人以下死亡，或者10人以下重伤，或者1000万元以下直接经济损失的事故。</w:t>
            </w:r>
          </w:p>
        </w:tc>
      </w:tr>
      <w:tr w14:paraId="3F20E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trPr>
        <w:tc>
          <w:tcPr>
            <w:tcW w:w="1247" w:type="dxa"/>
            <w:shd w:val="clear" w:color="auto" w:fill="auto"/>
          </w:tcPr>
          <w:p w14:paraId="32AD4777">
            <w:pPr>
              <w:rPr>
                <w:rFonts w:hint="eastAsia" w:ascii="仿宋_GB2312" w:hAnsi="仿宋_GB2312" w:eastAsia="仿宋_GB2312" w:cs="仿宋_GB2312"/>
                <w:szCs w:val="21"/>
              </w:rPr>
            </w:pPr>
            <w:r>
              <w:rPr>
                <w:rFonts w:hint="eastAsia" w:ascii="仿宋_GB2312" w:hAnsi="仿宋_GB2312" w:eastAsia="仿宋_GB2312" w:cs="仿宋_GB2312"/>
                <w:szCs w:val="21"/>
              </w:rPr>
              <w:t>三级风险</w:t>
            </w:r>
          </w:p>
        </w:tc>
        <w:tc>
          <w:tcPr>
            <w:tcW w:w="7684" w:type="dxa"/>
            <w:shd w:val="clear" w:color="auto" w:fill="auto"/>
          </w:tcPr>
          <w:p w14:paraId="529EFF7D">
            <w:pPr>
              <w:rPr>
                <w:rFonts w:hint="eastAsia" w:ascii="仿宋_GB2312" w:hAnsi="仿宋_GB2312" w:eastAsia="仿宋_GB2312" w:cs="仿宋_GB2312"/>
                <w:szCs w:val="21"/>
              </w:rPr>
            </w:pPr>
            <w:r>
              <w:rPr>
                <w:rFonts w:hint="eastAsia" w:ascii="仿宋_GB2312" w:hAnsi="仿宋_GB2312" w:eastAsia="仿宋_GB2312" w:cs="仿宋_GB2312"/>
                <w:szCs w:val="21"/>
              </w:rPr>
              <w:t>指该风险点一旦发生发生事故，可能导致轻伤事故（包括急性工业中毒，下同）或轻微经济损失。</w:t>
            </w:r>
          </w:p>
        </w:tc>
      </w:tr>
      <w:tr w14:paraId="78782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247" w:type="dxa"/>
            <w:shd w:val="clear" w:color="auto" w:fill="auto"/>
          </w:tcPr>
          <w:p w14:paraId="06ED5DD5">
            <w:pPr>
              <w:rPr>
                <w:rFonts w:hint="eastAsia" w:ascii="仿宋_GB2312" w:hAnsi="仿宋_GB2312" w:eastAsia="仿宋_GB2312" w:cs="仿宋_GB2312"/>
                <w:szCs w:val="21"/>
              </w:rPr>
            </w:pPr>
            <w:r>
              <w:rPr>
                <w:rFonts w:hint="eastAsia" w:ascii="仿宋_GB2312" w:hAnsi="仿宋_GB2312" w:eastAsia="仿宋_GB2312" w:cs="仿宋_GB2312"/>
                <w:szCs w:val="21"/>
              </w:rPr>
              <w:t>四级风险</w:t>
            </w:r>
          </w:p>
        </w:tc>
        <w:tc>
          <w:tcPr>
            <w:tcW w:w="7684" w:type="dxa"/>
            <w:shd w:val="clear" w:color="auto" w:fill="auto"/>
          </w:tcPr>
          <w:p w14:paraId="1120D31C">
            <w:pPr>
              <w:rPr>
                <w:rFonts w:hint="eastAsia" w:ascii="仿宋_GB2312" w:hAnsi="仿宋_GB2312" w:eastAsia="仿宋_GB2312" w:cs="仿宋_GB2312"/>
                <w:szCs w:val="21"/>
              </w:rPr>
            </w:pPr>
            <w:r>
              <w:rPr>
                <w:rFonts w:hint="eastAsia" w:ascii="仿宋_GB2312" w:hAnsi="仿宋_GB2312" w:eastAsia="仿宋_GB2312" w:cs="仿宋_GB2312"/>
                <w:szCs w:val="21"/>
              </w:rPr>
              <w:t>指该风险点一旦发一事故，可能导致不损失工作日伤害。</w:t>
            </w:r>
          </w:p>
        </w:tc>
      </w:tr>
    </w:tbl>
    <w:p w14:paraId="1DF7145A">
      <w:pPr>
        <w:jc w:val="cente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表1 风险点分级标准</w:t>
      </w:r>
    </w:p>
    <w:p w14:paraId="20D49C9B">
      <w:pPr>
        <w:ind w:firstLine="640" w:firstLineChars="200"/>
        <w:rPr>
          <w:rFonts w:hint="eastAsia" w:ascii="仿宋_GB2312" w:hAnsi="仿宋_GB2312" w:eastAsia="仿宋_GB2312" w:cs="仿宋_GB2312"/>
          <w:bCs/>
          <w:sz w:val="24"/>
          <w:szCs w:val="24"/>
        </w:rPr>
      </w:pPr>
      <w:r>
        <w:rPr>
          <w:rFonts w:hint="eastAsia" w:ascii="仿宋_GB2312" w:hAnsi="仿宋_GB2312" w:eastAsia="仿宋_GB2312" w:cs="仿宋_GB2312"/>
          <w:sz w:val="32"/>
          <w:szCs w:val="32"/>
        </w:rPr>
        <w:t>风险点是危险源进行辨识的基本单元，同时也是编制“一企一册”的基本信息。</w:t>
      </w:r>
    </w:p>
    <w:p w14:paraId="6C11C7E4">
      <w:pPr>
        <w:tabs>
          <w:tab w:val="left" w:pos="840"/>
        </w:tabs>
        <w:outlineLvl w:val="0"/>
        <w:rPr>
          <w:rFonts w:hint="eastAsia" w:ascii="仿宋_GB2312" w:hAnsi="仿宋_GB2312" w:eastAsia="仿宋_GB2312" w:cs="仿宋_GB2312"/>
          <w:sz w:val="32"/>
          <w:szCs w:val="32"/>
        </w:rPr>
      </w:pPr>
      <w:bookmarkStart w:id="53" w:name="_Toc466454111"/>
      <w:r>
        <w:rPr>
          <w:rFonts w:hint="eastAsia" w:ascii="仿宋_GB2312" w:hAnsi="仿宋_GB2312" w:eastAsia="仿宋_GB2312" w:cs="仿宋_GB2312"/>
          <w:sz w:val="32"/>
          <w:szCs w:val="32"/>
        </w:rPr>
        <w:t>8  危险源识别</w:t>
      </w:r>
      <w:bookmarkEnd w:id="46"/>
      <w:r>
        <w:rPr>
          <w:rFonts w:hint="eastAsia" w:ascii="仿宋_GB2312" w:hAnsi="仿宋_GB2312" w:eastAsia="仿宋_GB2312" w:cs="仿宋_GB2312"/>
          <w:sz w:val="32"/>
          <w:szCs w:val="32"/>
        </w:rPr>
        <w:t>与分级</w:t>
      </w:r>
      <w:bookmarkEnd w:id="53"/>
    </w:p>
    <w:p w14:paraId="11D08C3B">
      <w:pPr>
        <w:outlineLvl w:val="1"/>
        <w:rPr>
          <w:rFonts w:hint="eastAsia" w:ascii="仿宋_GB2312" w:hAnsi="仿宋_GB2312" w:eastAsia="仿宋_GB2312" w:cs="仿宋_GB2312"/>
          <w:sz w:val="32"/>
          <w:szCs w:val="32"/>
        </w:rPr>
      </w:pPr>
      <w:bookmarkStart w:id="54" w:name="_Toc466454112"/>
      <w:bookmarkStart w:id="55" w:name="_Toc448219039"/>
      <w:r>
        <w:rPr>
          <w:rFonts w:hint="eastAsia" w:ascii="仿宋_GB2312" w:hAnsi="仿宋_GB2312" w:eastAsia="仿宋_GB2312" w:cs="仿宋_GB2312"/>
          <w:sz w:val="32"/>
          <w:szCs w:val="32"/>
        </w:rPr>
        <w:t>8.1  危险源识别</w:t>
      </w:r>
      <w:bookmarkEnd w:id="54"/>
    </w:p>
    <w:p w14:paraId="6C4C9B1B">
      <w:pPr>
        <w:outlineLvl w:val="1"/>
        <w:rPr>
          <w:rFonts w:hint="eastAsia" w:ascii="仿宋_GB2312" w:hAnsi="仿宋_GB2312" w:eastAsia="仿宋_GB2312" w:cs="仿宋_GB2312"/>
          <w:sz w:val="32"/>
          <w:szCs w:val="32"/>
        </w:rPr>
      </w:pPr>
      <w:bookmarkStart w:id="56" w:name="_Toc448219040"/>
      <w:bookmarkStart w:id="57" w:name="_Toc466454113"/>
      <w:r>
        <w:rPr>
          <w:rFonts w:hint="eastAsia" w:ascii="仿宋_GB2312" w:hAnsi="仿宋_GB2312" w:eastAsia="仿宋_GB2312" w:cs="仿宋_GB2312"/>
          <w:sz w:val="32"/>
          <w:szCs w:val="32"/>
        </w:rPr>
        <w:t>8.1.1  危险源识别范围</w:t>
      </w:r>
      <w:bookmarkEnd w:id="56"/>
      <w:bookmarkEnd w:id="57"/>
    </w:p>
    <w:p w14:paraId="63821A8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识别时可以以生产区域、作业区域或者作业步骤等划分，但应确保风险点识别覆盖公司所有场所、设备设施、产品、作业活动、服务过程中，可能造成人员伤害、职业病、财产损失或作业环境破坏的潜在不安全因素。</w:t>
      </w:r>
    </w:p>
    <w:p w14:paraId="3D9DA792">
      <w:pPr>
        <w:outlineLvl w:val="1"/>
        <w:rPr>
          <w:rFonts w:hint="eastAsia" w:ascii="仿宋_GB2312" w:hAnsi="仿宋_GB2312" w:eastAsia="仿宋_GB2312" w:cs="仿宋_GB2312"/>
          <w:sz w:val="32"/>
          <w:szCs w:val="32"/>
        </w:rPr>
      </w:pPr>
      <w:bookmarkStart w:id="58" w:name="_Toc466454114"/>
      <w:r>
        <w:rPr>
          <w:rFonts w:hint="eastAsia" w:ascii="仿宋_GB2312" w:hAnsi="仿宋_GB2312" w:eastAsia="仿宋_GB2312" w:cs="仿宋_GB2312"/>
          <w:sz w:val="32"/>
          <w:szCs w:val="32"/>
        </w:rPr>
        <w:t>8.1.2  危险源识别方法</w:t>
      </w:r>
      <w:bookmarkEnd w:id="55"/>
      <w:bookmarkEnd w:id="58"/>
    </w:p>
    <w:p w14:paraId="730FAAA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在进行危险源辨识时，可以采用但不仅限于以下方法进行风险点识别：</w:t>
      </w:r>
    </w:p>
    <w:p w14:paraId="2E96188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（1）询问交谈；</w:t>
      </w:r>
    </w:p>
    <w:p w14:paraId="09A497A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（2）现场观察；</w:t>
      </w:r>
    </w:p>
    <w:p w14:paraId="0A38943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（3）查阅有关记录；</w:t>
      </w:r>
    </w:p>
    <w:p w14:paraId="1EA3F3E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（4）获取外部信息；</w:t>
      </w:r>
    </w:p>
    <w:p w14:paraId="2D3B581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（5）工作任务分析/作业危害分析法（JHA）；</w:t>
      </w:r>
    </w:p>
    <w:p w14:paraId="04E2A38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（6）安全检查表（SCL）；</w:t>
      </w:r>
    </w:p>
    <w:p w14:paraId="69B2FA8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（7）危险与可操作性研究；</w:t>
      </w:r>
    </w:p>
    <w:p w14:paraId="7C5B153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（8）故障树分析；</w:t>
      </w:r>
    </w:p>
    <w:p w14:paraId="4A2C3F2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（9）事件树分析；</w:t>
      </w:r>
    </w:p>
    <w:p w14:paraId="08E68F5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（10）重大危险源。</w:t>
      </w:r>
    </w:p>
    <w:p w14:paraId="5E5DB00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示例：作业危害分析法（JHA）：把一项作业活动分解成几个步骤，识别整个作业活动及每一步骤中的危险源并将其汇总。 </w:t>
      </w:r>
    </w:p>
    <w:p w14:paraId="4C7918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例如：生产车间区域单元划分，按照工艺为划分为洗车、收奶、预处理、杀菌、灌装、包装、成品入库、CIP清洗等“模块”单元；每个一级子“模块”单元内部划分为多个二级子系统，例如：预处理“模块”单元中又划分为配料、巴杀、贮存三个二级子单元，对配料进行全覆盖辨识。辨识结果如下表：</w:t>
      </w:r>
    </w:p>
    <w:tbl>
      <w:tblPr>
        <w:tblStyle w:val="15"/>
        <w:tblW w:w="8936" w:type="dxa"/>
        <w:tblInd w:w="103" w:type="dxa"/>
        <w:tblLayout w:type="autofit"/>
        <w:tblCellMar>
          <w:top w:w="0" w:type="dxa"/>
          <w:left w:w="108" w:type="dxa"/>
          <w:bottom w:w="0" w:type="dxa"/>
          <w:right w:w="108" w:type="dxa"/>
        </w:tblCellMar>
      </w:tblPr>
      <w:tblGrid>
        <w:gridCol w:w="856"/>
        <w:gridCol w:w="845"/>
        <w:gridCol w:w="2840"/>
        <w:gridCol w:w="1134"/>
        <w:gridCol w:w="3261"/>
      </w:tblGrid>
      <w:tr w14:paraId="5F17AFB8">
        <w:tblPrEx>
          <w:tblCellMar>
            <w:top w:w="0" w:type="dxa"/>
            <w:left w:w="108" w:type="dxa"/>
            <w:bottom w:w="0" w:type="dxa"/>
            <w:right w:w="108" w:type="dxa"/>
          </w:tblCellMar>
        </w:tblPrEx>
        <w:trPr>
          <w:trHeight w:val="186" w:hRule="atLeast"/>
        </w:trPr>
        <w:tc>
          <w:tcPr>
            <w:tcW w:w="856" w:type="dxa"/>
            <w:tcBorders>
              <w:top w:val="single" w:color="auto" w:sz="4" w:space="0"/>
              <w:left w:val="single" w:color="auto" w:sz="4" w:space="0"/>
              <w:bottom w:val="single" w:color="auto" w:sz="4" w:space="0"/>
              <w:right w:val="single" w:color="auto" w:sz="4" w:space="0"/>
            </w:tcBorders>
            <w:vAlign w:val="center"/>
          </w:tcPr>
          <w:p w14:paraId="5B37E1B3">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工作任务</w:t>
            </w:r>
          </w:p>
        </w:tc>
        <w:tc>
          <w:tcPr>
            <w:tcW w:w="845" w:type="dxa"/>
            <w:tcBorders>
              <w:top w:val="single" w:color="auto" w:sz="4" w:space="0"/>
              <w:left w:val="single" w:color="auto" w:sz="4" w:space="0"/>
              <w:bottom w:val="single" w:color="auto" w:sz="4" w:space="0"/>
              <w:right w:val="single" w:color="auto" w:sz="4" w:space="0"/>
            </w:tcBorders>
            <w:vAlign w:val="center"/>
          </w:tcPr>
          <w:p w14:paraId="0B372A39">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工作步骤</w:t>
            </w:r>
          </w:p>
        </w:tc>
        <w:tc>
          <w:tcPr>
            <w:tcW w:w="2840" w:type="dxa"/>
            <w:tcBorders>
              <w:top w:val="single" w:color="auto" w:sz="4" w:space="0"/>
              <w:left w:val="single" w:color="auto" w:sz="4" w:space="0"/>
              <w:bottom w:val="single" w:color="auto" w:sz="4" w:space="0"/>
              <w:right w:val="single" w:color="auto" w:sz="4" w:space="0"/>
            </w:tcBorders>
            <w:vAlign w:val="center"/>
          </w:tcPr>
          <w:p w14:paraId="2F4F603B">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危险源描述</w:t>
            </w:r>
          </w:p>
        </w:tc>
        <w:tc>
          <w:tcPr>
            <w:tcW w:w="1134" w:type="dxa"/>
            <w:tcBorders>
              <w:top w:val="single" w:color="auto" w:sz="4" w:space="0"/>
              <w:left w:val="single" w:color="auto" w:sz="4" w:space="0"/>
              <w:bottom w:val="single" w:color="auto" w:sz="4" w:space="0"/>
              <w:right w:val="single" w:color="auto" w:sz="4" w:space="0"/>
            </w:tcBorders>
            <w:vAlign w:val="center"/>
          </w:tcPr>
          <w:p w14:paraId="4A850609">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导致后果</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14:paraId="065DECBA">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典型控制措施</w:t>
            </w:r>
          </w:p>
        </w:tc>
      </w:tr>
      <w:tr w14:paraId="08C01111">
        <w:tblPrEx>
          <w:tblCellMar>
            <w:top w:w="0" w:type="dxa"/>
            <w:left w:w="108" w:type="dxa"/>
            <w:bottom w:w="0" w:type="dxa"/>
            <w:right w:w="108" w:type="dxa"/>
          </w:tblCellMar>
        </w:tblPrEx>
        <w:trPr>
          <w:trHeight w:val="423" w:hRule="atLeast"/>
        </w:trPr>
        <w:tc>
          <w:tcPr>
            <w:tcW w:w="856" w:type="dxa"/>
            <w:vMerge w:val="restart"/>
            <w:tcBorders>
              <w:top w:val="nil"/>
              <w:left w:val="single" w:color="auto" w:sz="4" w:space="0"/>
              <w:right w:val="single" w:color="auto" w:sz="4" w:space="0"/>
            </w:tcBorders>
            <w:shd w:val="clear" w:color="000000" w:fill="FFFFFF"/>
            <w:vAlign w:val="center"/>
          </w:tcPr>
          <w:p w14:paraId="43B41FF9">
            <w:pPr>
              <w:widowControl/>
              <w:jc w:val="center"/>
              <w:rPr>
                <w:rFonts w:hint="eastAsia" w:ascii="仿宋_GB2312" w:hAnsi="仿宋_GB2312" w:eastAsia="仿宋_GB2312" w:cs="仿宋_GB2312"/>
                <w:kern w:val="0"/>
                <w:sz w:val="22"/>
              </w:rPr>
            </w:pPr>
            <w:r>
              <w:rPr>
                <w:rFonts w:hint="eastAsia" w:ascii="仿宋_GB2312" w:hAnsi="仿宋_GB2312" w:eastAsia="仿宋_GB2312" w:cs="仿宋_GB2312"/>
                <w:kern w:val="0"/>
                <w:sz w:val="22"/>
              </w:rPr>
              <w:t>配料</w:t>
            </w:r>
          </w:p>
        </w:tc>
        <w:tc>
          <w:tcPr>
            <w:tcW w:w="845" w:type="dxa"/>
            <w:tcBorders>
              <w:top w:val="nil"/>
              <w:left w:val="single" w:color="auto" w:sz="4" w:space="0"/>
              <w:bottom w:val="single" w:color="auto" w:sz="4" w:space="0"/>
              <w:right w:val="single" w:color="auto" w:sz="4" w:space="0"/>
            </w:tcBorders>
            <w:shd w:val="clear" w:color="000000" w:fill="FFFFFF"/>
            <w:vAlign w:val="center"/>
          </w:tcPr>
          <w:p w14:paraId="742CE7D9">
            <w:pPr>
              <w:jc w:val="center"/>
              <w:rPr>
                <w:rFonts w:hint="eastAsia" w:ascii="仿宋_GB2312" w:hAnsi="仿宋_GB2312" w:eastAsia="仿宋_GB2312" w:cs="仿宋_GB2312"/>
                <w:sz w:val="22"/>
              </w:rPr>
            </w:pPr>
            <w:r>
              <w:rPr>
                <w:rFonts w:hint="eastAsia" w:ascii="仿宋_GB2312" w:hAnsi="仿宋_GB2312" w:eastAsia="仿宋_GB2312" w:cs="仿宋_GB2312"/>
                <w:sz w:val="22"/>
              </w:rPr>
              <w:t>打料</w:t>
            </w:r>
          </w:p>
        </w:tc>
        <w:tc>
          <w:tcPr>
            <w:tcW w:w="2840" w:type="dxa"/>
            <w:tcBorders>
              <w:top w:val="nil"/>
              <w:left w:val="nil"/>
              <w:bottom w:val="single" w:color="auto" w:sz="4" w:space="0"/>
              <w:right w:val="single" w:color="auto" w:sz="4" w:space="0"/>
            </w:tcBorders>
            <w:shd w:val="clear" w:color="000000" w:fill="FFFFFF"/>
            <w:vAlign w:val="center"/>
          </w:tcPr>
          <w:p w14:paraId="01E22772">
            <w:pPr>
              <w:jc w:val="center"/>
              <w:rPr>
                <w:rFonts w:hint="eastAsia" w:ascii="仿宋_GB2312" w:hAnsi="仿宋_GB2312" w:eastAsia="仿宋_GB2312" w:cs="仿宋_GB2312"/>
                <w:sz w:val="22"/>
              </w:rPr>
            </w:pPr>
            <w:r>
              <w:rPr>
                <w:rFonts w:hint="eastAsia" w:ascii="仿宋_GB2312" w:hAnsi="仿宋_GB2312" w:eastAsia="仿宋_GB2312" w:cs="仿宋_GB2312"/>
                <w:sz w:val="22"/>
              </w:rPr>
              <w:t>原料车打料拉料时未穿防砸鞋，易压伤脚趾货原料倾斜砸伤</w:t>
            </w:r>
          </w:p>
        </w:tc>
        <w:tc>
          <w:tcPr>
            <w:tcW w:w="1134" w:type="dxa"/>
            <w:tcBorders>
              <w:top w:val="nil"/>
              <w:left w:val="nil"/>
              <w:bottom w:val="single" w:color="auto" w:sz="4" w:space="0"/>
              <w:right w:val="single" w:color="auto" w:sz="4" w:space="0"/>
            </w:tcBorders>
            <w:shd w:val="clear" w:color="000000" w:fill="FFFFFF"/>
            <w:vAlign w:val="center"/>
          </w:tcPr>
          <w:p w14:paraId="53AC7D63">
            <w:pPr>
              <w:jc w:val="center"/>
              <w:rPr>
                <w:rFonts w:hint="eastAsia" w:ascii="仿宋_GB2312" w:hAnsi="仿宋_GB2312" w:eastAsia="仿宋_GB2312" w:cs="仿宋_GB2312"/>
                <w:sz w:val="22"/>
              </w:rPr>
            </w:pPr>
            <w:r>
              <w:rPr>
                <w:rFonts w:hint="eastAsia" w:ascii="仿宋_GB2312" w:hAnsi="仿宋_GB2312" w:eastAsia="仿宋_GB2312" w:cs="仿宋_GB2312"/>
                <w:sz w:val="22"/>
              </w:rPr>
              <w:t>机械伤害</w:t>
            </w:r>
          </w:p>
        </w:tc>
        <w:tc>
          <w:tcPr>
            <w:tcW w:w="3261" w:type="dxa"/>
            <w:tcBorders>
              <w:top w:val="nil"/>
              <w:left w:val="nil"/>
              <w:bottom w:val="single" w:color="auto" w:sz="4" w:space="0"/>
              <w:right w:val="single" w:color="auto" w:sz="4" w:space="0"/>
            </w:tcBorders>
            <w:shd w:val="clear" w:color="000000" w:fill="FFFFFF"/>
            <w:vAlign w:val="center"/>
          </w:tcPr>
          <w:p w14:paraId="35056546">
            <w:pPr>
              <w:jc w:val="center"/>
              <w:rPr>
                <w:rFonts w:hint="eastAsia" w:ascii="仿宋_GB2312" w:hAnsi="仿宋_GB2312" w:eastAsia="仿宋_GB2312" w:cs="仿宋_GB2312"/>
                <w:sz w:val="22"/>
              </w:rPr>
            </w:pPr>
            <w:r>
              <w:rPr>
                <w:rFonts w:hint="eastAsia" w:ascii="仿宋_GB2312" w:hAnsi="仿宋_GB2312" w:eastAsia="仿宋_GB2312" w:cs="仿宋_GB2312"/>
                <w:sz w:val="22"/>
              </w:rPr>
              <w:t>穿防砸鞋</w:t>
            </w:r>
          </w:p>
        </w:tc>
      </w:tr>
      <w:tr w14:paraId="533328EC">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728A9B68">
            <w:pPr>
              <w:jc w:val="center"/>
              <w:rPr>
                <w:rFonts w:hint="eastAsia" w:ascii="仿宋_GB2312" w:hAnsi="仿宋_GB2312" w:eastAsia="仿宋_GB2312" w:cs="仿宋_GB2312"/>
              </w:rPr>
            </w:pPr>
          </w:p>
        </w:tc>
        <w:tc>
          <w:tcPr>
            <w:tcW w:w="8080" w:type="dxa"/>
            <w:gridSpan w:val="4"/>
            <w:tcBorders>
              <w:top w:val="nil"/>
              <w:left w:val="single" w:color="auto" w:sz="4" w:space="0"/>
              <w:bottom w:val="single" w:color="auto" w:sz="4" w:space="0"/>
              <w:right w:val="single" w:color="auto" w:sz="4" w:space="0"/>
            </w:tcBorders>
            <w:shd w:val="clear" w:color="000000" w:fill="FFFFFF"/>
            <w:vAlign w:val="center"/>
          </w:tcPr>
          <w:p w14:paraId="7343385D">
            <w:pPr>
              <w:jc w:val="center"/>
              <w:rPr>
                <w:rFonts w:hint="eastAsia" w:ascii="仿宋_GB2312" w:hAnsi="仿宋_GB2312" w:eastAsia="仿宋_GB2312" w:cs="仿宋_GB2312"/>
                <w:sz w:val="22"/>
              </w:rPr>
            </w:pPr>
            <w:r>
              <w:rPr>
                <w:rFonts w:hint="eastAsia" w:ascii="仿宋_GB2312" w:hAnsi="仿宋_GB2312" w:eastAsia="仿宋_GB2312" w:cs="仿宋_GB2312"/>
                <w:sz w:val="22"/>
              </w:rPr>
              <w:t>……</w:t>
            </w:r>
          </w:p>
        </w:tc>
      </w:tr>
      <w:tr w14:paraId="5BDB8FA7">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16A91E27">
            <w:pPr>
              <w:jc w:val="center"/>
              <w:rPr>
                <w:rFonts w:hint="eastAsia" w:ascii="仿宋_GB2312" w:hAnsi="仿宋_GB2312" w:eastAsia="仿宋_GB2312" w:cs="仿宋_GB2312"/>
              </w:rPr>
            </w:pPr>
          </w:p>
        </w:tc>
        <w:tc>
          <w:tcPr>
            <w:tcW w:w="845" w:type="dxa"/>
            <w:tcBorders>
              <w:top w:val="nil"/>
              <w:left w:val="single" w:color="auto" w:sz="4" w:space="0"/>
              <w:bottom w:val="single" w:color="auto" w:sz="4" w:space="0"/>
              <w:right w:val="single" w:color="auto" w:sz="4" w:space="0"/>
            </w:tcBorders>
            <w:shd w:val="clear" w:color="000000" w:fill="FFFFFF"/>
            <w:vAlign w:val="center"/>
          </w:tcPr>
          <w:p w14:paraId="031FB8A3">
            <w:pPr>
              <w:jc w:val="center"/>
              <w:rPr>
                <w:rFonts w:hint="eastAsia" w:ascii="仿宋_GB2312" w:hAnsi="仿宋_GB2312" w:eastAsia="仿宋_GB2312" w:cs="仿宋_GB2312"/>
                <w:sz w:val="22"/>
              </w:rPr>
            </w:pPr>
            <w:r>
              <w:rPr>
                <w:rFonts w:hint="eastAsia" w:ascii="仿宋_GB2312" w:hAnsi="仿宋_GB2312" w:eastAsia="仿宋_GB2312" w:cs="仿宋_GB2312"/>
                <w:sz w:val="22"/>
              </w:rPr>
              <w:t>称量</w:t>
            </w:r>
          </w:p>
        </w:tc>
        <w:tc>
          <w:tcPr>
            <w:tcW w:w="2840" w:type="dxa"/>
            <w:tcBorders>
              <w:top w:val="nil"/>
              <w:left w:val="nil"/>
              <w:bottom w:val="single" w:color="auto" w:sz="4" w:space="0"/>
              <w:right w:val="single" w:color="auto" w:sz="4" w:space="0"/>
            </w:tcBorders>
            <w:shd w:val="clear" w:color="000000" w:fill="FFFFFF"/>
            <w:vAlign w:val="center"/>
          </w:tcPr>
          <w:p w14:paraId="298FD1B4">
            <w:pPr>
              <w:jc w:val="center"/>
              <w:rPr>
                <w:rFonts w:hint="eastAsia" w:ascii="仿宋_GB2312" w:hAnsi="仿宋_GB2312" w:eastAsia="仿宋_GB2312" w:cs="仿宋_GB2312"/>
                <w:sz w:val="22"/>
              </w:rPr>
            </w:pPr>
            <w:r>
              <w:rPr>
                <w:rFonts w:hint="eastAsia" w:ascii="仿宋_GB2312" w:hAnsi="仿宋_GB2312" w:eastAsia="仿宋_GB2312" w:cs="仿宋_GB2312"/>
                <w:sz w:val="22"/>
              </w:rPr>
              <w:t>员工称料时不佩戴防尘口罩粉末飞入体内，伤害身体</w:t>
            </w:r>
          </w:p>
        </w:tc>
        <w:tc>
          <w:tcPr>
            <w:tcW w:w="1134" w:type="dxa"/>
            <w:tcBorders>
              <w:top w:val="nil"/>
              <w:left w:val="nil"/>
              <w:bottom w:val="single" w:color="auto" w:sz="4" w:space="0"/>
              <w:right w:val="single" w:color="auto" w:sz="4" w:space="0"/>
            </w:tcBorders>
            <w:shd w:val="clear" w:color="000000" w:fill="FFFFFF"/>
            <w:vAlign w:val="center"/>
          </w:tcPr>
          <w:p w14:paraId="37A573F9">
            <w:pPr>
              <w:jc w:val="center"/>
              <w:rPr>
                <w:rFonts w:hint="eastAsia" w:ascii="仿宋_GB2312" w:hAnsi="仿宋_GB2312" w:eastAsia="仿宋_GB2312" w:cs="仿宋_GB2312"/>
                <w:sz w:val="22"/>
              </w:rPr>
            </w:pPr>
            <w:r>
              <w:rPr>
                <w:rFonts w:hint="eastAsia" w:ascii="仿宋_GB2312" w:hAnsi="仿宋_GB2312" w:eastAsia="仿宋_GB2312" w:cs="仿宋_GB2312"/>
                <w:sz w:val="22"/>
              </w:rPr>
              <w:t>尘肺</w:t>
            </w:r>
          </w:p>
        </w:tc>
        <w:tc>
          <w:tcPr>
            <w:tcW w:w="3261" w:type="dxa"/>
            <w:tcBorders>
              <w:top w:val="nil"/>
              <w:left w:val="nil"/>
              <w:bottom w:val="single" w:color="auto" w:sz="4" w:space="0"/>
              <w:right w:val="single" w:color="auto" w:sz="4" w:space="0"/>
            </w:tcBorders>
            <w:shd w:val="clear" w:color="000000" w:fill="FFFFFF"/>
            <w:vAlign w:val="center"/>
          </w:tcPr>
          <w:p w14:paraId="4D914D91">
            <w:pPr>
              <w:jc w:val="center"/>
              <w:rPr>
                <w:rFonts w:hint="eastAsia" w:ascii="仿宋_GB2312" w:hAnsi="仿宋_GB2312" w:eastAsia="仿宋_GB2312" w:cs="仿宋_GB2312"/>
                <w:sz w:val="22"/>
              </w:rPr>
            </w:pPr>
            <w:r>
              <w:rPr>
                <w:rFonts w:hint="eastAsia" w:ascii="仿宋_GB2312" w:hAnsi="仿宋_GB2312" w:eastAsia="仿宋_GB2312" w:cs="仿宋_GB2312"/>
                <w:sz w:val="22"/>
              </w:rPr>
              <w:t>1、给员工发放了防尘口罩；</w:t>
            </w:r>
            <w:r>
              <w:rPr>
                <w:rFonts w:hint="eastAsia" w:ascii="仿宋_GB2312" w:hAnsi="仿宋_GB2312" w:eastAsia="仿宋_GB2312" w:cs="仿宋_GB2312"/>
                <w:sz w:val="22"/>
              </w:rPr>
              <w:br w:type="textWrapping"/>
            </w:r>
            <w:r>
              <w:rPr>
                <w:rFonts w:hint="eastAsia" w:ascii="仿宋_GB2312" w:hAnsi="仿宋_GB2312" w:eastAsia="仿宋_GB2312" w:cs="仿宋_GB2312"/>
                <w:sz w:val="22"/>
              </w:rPr>
              <w:t>2、正确佩戴防尘口罩。</w:t>
            </w:r>
          </w:p>
        </w:tc>
      </w:tr>
      <w:tr w14:paraId="44506B3E">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4AFF66E7">
            <w:pPr>
              <w:jc w:val="center"/>
              <w:rPr>
                <w:rFonts w:hint="eastAsia" w:ascii="仿宋_GB2312" w:hAnsi="仿宋_GB2312" w:eastAsia="仿宋_GB2312" w:cs="仿宋_GB2312"/>
              </w:rPr>
            </w:pPr>
          </w:p>
        </w:tc>
        <w:tc>
          <w:tcPr>
            <w:tcW w:w="8080" w:type="dxa"/>
            <w:gridSpan w:val="4"/>
            <w:tcBorders>
              <w:top w:val="nil"/>
              <w:left w:val="single" w:color="auto" w:sz="4" w:space="0"/>
              <w:bottom w:val="single" w:color="auto" w:sz="4" w:space="0"/>
              <w:right w:val="single" w:color="auto" w:sz="4" w:space="0"/>
            </w:tcBorders>
            <w:shd w:val="clear" w:color="000000" w:fill="FFFFFF"/>
            <w:vAlign w:val="center"/>
          </w:tcPr>
          <w:p w14:paraId="2F54A981">
            <w:pPr>
              <w:jc w:val="center"/>
              <w:rPr>
                <w:rFonts w:hint="eastAsia" w:ascii="仿宋_GB2312" w:hAnsi="仿宋_GB2312" w:eastAsia="仿宋_GB2312" w:cs="仿宋_GB2312"/>
                <w:sz w:val="22"/>
              </w:rPr>
            </w:pPr>
            <w:r>
              <w:rPr>
                <w:rFonts w:hint="eastAsia" w:ascii="仿宋_GB2312" w:hAnsi="仿宋_GB2312" w:eastAsia="仿宋_GB2312" w:cs="仿宋_GB2312"/>
                <w:sz w:val="22"/>
              </w:rPr>
              <w:t>……</w:t>
            </w:r>
          </w:p>
        </w:tc>
      </w:tr>
      <w:tr w14:paraId="60B6F029">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343C0CB0">
            <w:pPr>
              <w:jc w:val="center"/>
              <w:rPr>
                <w:rFonts w:hint="eastAsia" w:ascii="仿宋_GB2312" w:hAnsi="仿宋_GB2312" w:eastAsia="仿宋_GB2312" w:cs="仿宋_GB2312"/>
              </w:rPr>
            </w:pPr>
          </w:p>
        </w:tc>
        <w:tc>
          <w:tcPr>
            <w:tcW w:w="845" w:type="dxa"/>
            <w:tcBorders>
              <w:top w:val="nil"/>
              <w:left w:val="single" w:color="auto" w:sz="4" w:space="0"/>
              <w:bottom w:val="single" w:color="auto" w:sz="4" w:space="0"/>
              <w:right w:val="single" w:color="auto" w:sz="4" w:space="0"/>
            </w:tcBorders>
            <w:shd w:val="clear" w:color="000000" w:fill="FFFFFF"/>
            <w:vAlign w:val="center"/>
          </w:tcPr>
          <w:p w14:paraId="4B71D970">
            <w:pPr>
              <w:jc w:val="center"/>
              <w:rPr>
                <w:rFonts w:hint="eastAsia" w:ascii="仿宋_GB2312" w:hAnsi="仿宋_GB2312" w:eastAsia="仿宋_GB2312" w:cs="仿宋_GB2312"/>
                <w:sz w:val="22"/>
              </w:rPr>
            </w:pPr>
            <w:r>
              <w:rPr>
                <w:rFonts w:hint="eastAsia" w:ascii="仿宋_GB2312" w:hAnsi="仿宋_GB2312" w:eastAsia="仿宋_GB2312" w:cs="仿宋_GB2312"/>
                <w:sz w:val="22"/>
              </w:rPr>
              <w:t>化料</w:t>
            </w:r>
          </w:p>
        </w:tc>
        <w:tc>
          <w:tcPr>
            <w:tcW w:w="2840" w:type="dxa"/>
            <w:tcBorders>
              <w:top w:val="nil"/>
              <w:left w:val="nil"/>
              <w:bottom w:val="single" w:color="auto" w:sz="4" w:space="0"/>
              <w:right w:val="single" w:color="auto" w:sz="4" w:space="0"/>
            </w:tcBorders>
            <w:shd w:val="clear" w:color="000000" w:fill="FFFFFF"/>
            <w:vAlign w:val="center"/>
          </w:tcPr>
          <w:p w14:paraId="1A79C25F">
            <w:pPr>
              <w:jc w:val="center"/>
              <w:rPr>
                <w:rFonts w:hint="eastAsia" w:ascii="仿宋_GB2312" w:hAnsi="仿宋_GB2312" w:eastAsia="仿宋_GB2312" w:cs="仿宋_GB2312"/>
                <w:sz w:val="22"/>
              </w:rPr>
            </w:pPr>
            <w:r>
              <w:rPr>
                <w:rFonts w:hint="eastAsia" w:ascii="仿宋_GB2312" w:hAnsi="仿宋_GB2312" w:eastAsia="仿宋_GB2312" w:cs="仿宋_GB2312"/>
                <w:sz w:val="22"/>
              </w:rPr>
              <w:t>员工生产过程中加料后湿手打开化料开关，发生触电事故</w:t>
            </w:r>
          </w:p>
        </w:tc>
        <w:tc>
          <w:tcPr>
            <w:tcW w:w="1134" w:type="dxa"/>
            <w:tcBorders>
              <w:top w:val="nil"/>
              <w:left w:val="nil"/>
              <w:bottom w:val="single" w:color="auto" w:sz="4" w:space="0"/>
              <w:right w:val="single" w:color="auto" w:sz="4" w:space="0"/>
            </w:tcBorders>
            <w:shd w:val="clear" w:color="000000" w:fill="FFFFFF"/>
            <w:vAlign w:val="center"/>
          </w:tcPr>
          <w:p w14:paraId="3F8DDDEC">
            <w:pPr>
              <w:jc w:val="center"/>
              <w:rPr>
                <w:rFonts w:hint="eastAsia" w:ascii="仿宋_GB2312" w:hAnsi="仿宋_GB2312" w:eastAsia="仿宋_GB2312" w:cs="仿宋_GB2312"/>
                <w:sz w:val="22"/>
              </w:rPr>
            </w:pPr>
            <w:r>
              <w:rPr>
                <w:rFonts w:hint="eastAsia" w:ascii="仿宋_GB2312" w:hAnsi="仿宋_GB2312" w:eastAsia="仿宋_GB2312" w:cs="仿宋_GB2312"/>
                <w:sz w:val="22"/>
              </w:rPr>
              <w:t>触电</w:t>
            </w:r>
          </w:p>
        </w:tc>
        <w:tc>
          <w:tcPr>
            <w:tcW w:w="3261" w:type="dxa"/>
            <w:tcBorders>
              <w:top w:val="nil"/>
              <w:left w:val="nil"/>
              <w:bottom w:val="single" w:color="auto" w:sz="4" w:space="0"/>
              <w:right w:val="single" w:color="auto" w:sz="4" w:space="0"/>
            </w:tcBorders>
            <w:shd w:val="clear" w:color="000000" w:fill="FFFFFF"/>
            <w:vAlign w:val="center"/>
          </w:tcPr>
          <w:p w14:paraId="3C4474C5">
            <w:pPr>
              <w:jc w:val="center"/>
              <w:rPr>
                <w:rFonts w:hint="eastAsia" w:ascii="仿宋_GB2312" w:hAnsi="仿宋_GB2312" w:eastAsia="仿宋_GB2312" w:cs="仿宋_GB2312"/>
                <w:sz w:val="22"/>
              </w:rPr>
            </w:pPr>
            <w:r>
              <w:rPr>
                <w:rFonts w:hint="eastAsia" w:ascii="仿宋_GB2312" w:hAnsi="仿宋_GB2312" w:eastAsia="仿宋_GB2312" w:cs="仿宋_GB2312"/>
                <w:sz w:val="22"/>
              </w:rPr>
              <w:t>1、执行《常温配料工安全操作规程》不用湿手碰触电源开关。</w:t>
            </w:r>
          </w:p>
        </w:tc>
      </w:tr>
      <w:tr w14:paraId="6740B4D1">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30516758">
            <w:pPr>
              <w:jc w:val="center"/>
              <w:rPr>
                <w:rFonts w:hint="eastAsia" w:ascii="仿宋_GB2312" w:hAnsi="仿宋_GB2312" w:eastAsia="仿宋_GB2312" w:cs="仿宋_GB2312"/>
              </w:rPr>
            </w:pPr>
          </w:p>
        </w:tc>
        <w:tc>
          <w:tcPr>
            <w:tcW w:w="845" w:type="dxa"/>
            <w:tcBorders>
              <w:top w:val="nil"/>
              <w:left w:val="single" w:color="auto" w:sz="4" w:space="0"/>
              <w:bottom w:val="single" w:color="auto" w:sz="4" w:space="0"/>
              <w:right w:val="single" w:color="auto" w:sz="4" w:space="0"/>
            </w:tcBorders>
            <w:shd w:val="clear" w:color="000000" w:fill="FFFFFF"/>
            <w:vAlign w:val="center"/>
          </w:tcPr>
          <w:p w14:paraId="061A4013">
            <w:pPr>
              <w:jc w:val="center"/>
              <w:rPr>
                <w:rFonts w:hint="eastAsia" w:ascii="仿宋_GB2312" w:hAnsi="仿宋_GB2312" w:eastAsia="仿宋_GB2312" w:cs="仿宋_GB2312"/>
                <w:sz w:val="22"/>
              </w:rPr>
            </w:pPr>
            <w:r>
              <w:rPr>
                <w:rFonts w:hint="eastAsia" w:ascii="仿宋_GB2312" w:hAnsi="仿宋_GB2312" w:eastAsia="仿宋_GB2312" w:cs="仿宋_GB2312"/>
                <w:sz w:val="22"/>
              </w:rPr>
              <w:t>化料</w:t>
            </w:r>
          </w:p>
        </w:tc>
        <w:tc>
          <w:tcPr>
            <w:tcW w:w="2840" w:type="dxa"/>
            <w:tcBorders>
              <w:top w:val="nil"/>
              <w:left w:val="nil"/>
              <w:bottom w:val="single" w:color="auto" w:sz="4" w:space="0"/>
              <w:right w:val="single" w:color="auto" w:sz="4" w:space="0"/>
            </w:tcBorders>
            <w:shd w:val="clear" w:color="000000" w:fill="FFFFFF"/>
            <w:vAlign w:val="center"/>
          </w:tcPr>
          <w:p w14:paraId="6E526D61">
            <w:pPr>
              <w:jc w:val="center"/>
              <w:rPr>
                <w:rFonts w:hint="eastAsia" w:ascii="仿宋_GB2312" w:hAnsi="仿宋_GB2312" w:eastAsia="仿宋_GB2312" w:cs="仿宋_GB2312"/>
                <w:sz w:val="22"/>
              </w:rPr>
            </w:pPr>
            <w:r>
              <w:rPr>
                <w:rFonts w:hint="eastAsia" w:ascii="仿宋_GB2312" w:hAnsi="仿宋_GB2312" w:eastAsia="仿宋_GB2312" w:cs="仿宋_GB2312"/>
                <w:sz w:val="22"/>
              </w:rPr>
              <w:t>预处理员工在配料间使用剪切机化料时不佩戴耳塞</w:t>
            </w:r>
          </w:p>
        </w:tc>
        <w:tc>
          <w:tcPr>
            <w:tcW w:w="1134" w:type="dxa"/>
            <w:tcBorders>
              <w:top w:val="nil"/>
              <w:left w:val="nil"/>
              <w:bottom w:val="single" w:color="auto" w:sz="4" w:space="0"/>
              <w:right w:val="single" w:color="auto" w:sz="4" w:space="0"/>
            </w:tcBorders>
            <w:shd w:val="clear" w:color="000000" w:fill="FFFFFF"/>
            <w:vAlign w:val="center"/>
          </w:tcPr>
          <w:p w14:paraId="1CEA5088">
            <w:pPr>
              <w:jc w:val="center"/>
              <w:rPr>
                <w:rFonts w:hint="eastAsia" w:ascii="仿宋_GB2312" w:hAnsi="仿宋_GB2312" w:eastAsia="仿宋_GB2312" w:cs="仿宋_GB2312"/>
                <w:sz w:val="22"/>
              </w:rPr>
            </w:pPr>
            <w:r>
              <w:rPr>
                <w:rFonts w:hint="eastAsia" w:ascii="仿宋_GB2312" w:hAnsi="仿宋_GB2312" w:eastAsia="仿宋_GB2312" w:cs="仿宋_GB2312"/>
                <w:sz w:val="22"/>
              </w:rPr>
              <w:t>职业性耳病</w:t>
            </w:r>
          </w:p>
        </w:tc>
        <w:tc>
          <w:tcPr>
            <w:tcW w:w="3261" w:type="dxa"/>
            <w:tcBorders>
              <w:top w:val="nil"/>
              <w:left w:val="nil"/>
              <w:bottom w:val="single" w:color="auto" w:sz="4" w:space="0"/>
              <w:right w:val="single" w:color="auto" w:sz="4" w:space="0"/>
            </w:tcBorders>
            <w:shd w:val="clear" w:color="000000" w:fill="FFFFFF"/>
            <w:vAlign w:val="center"/>
          </w:tcPr>
          <w:p w14:paraId="743EACDB">
            <w:pPr>
              <w:rPr>
                <w:rFonts w:hint="eastAsia" w:ascii="仿宋_GB2312" w:hAnsi="仿宋_GB2312" w:eastAsia="仿宋_GB2312" w:cs="仿宋_GB2312"/>
                <w:sz w:val="22"/>
              </w:rPr>
            </w:pPr>
            <w:r>
              <w:rPr>
                <w:rFonts w:hint="eastAsia" w:ascii="仿宋_GB2312" w:hAnsi="仿宋_GB2312" w:eastAsia="仿宋_GB2312" w:cs="仿宋_GB2312"/>
                <w:sz w:val="22"/>
              </w:rPr>
              <w:t>1、为员工配备了耳塞；</w:t>
            </w:r>
            <w:r>
              <w:rPr>
                <w:rFonts w:hint="eastAsia" w:ascii="仿宋_GB2312" w:hAnsi="仿宋_GB2312" w:eastAsia="仿宋_GB2312" w:cs="仿宋_GB2312"/>
                <w:sz w:val="22"/>
              </w:rPr>
              <w:br w:type="textWrapping"/>
            </w:r>
            <w:r>
              <w:rPr>
                <w:rFonts w:hint="eastAsia" w:ascii="仿宋_GB2312" w:hAnsi="仿宋_GB2312" w:eastAsia="仿宋_GB2312" w:cs="仿宋_GB2312"/>
                <w:sz w:val="22"/>
              </w:rPr>
              <w:t>2、执行《泰安事业部听力保护管理制度》佩戴耳塞并监督佩戴情况</w:t>
            </w:r>
          </w:p>
        </w:tc>
      </w:tr>
      <w:tr w14:paraId="352ED548">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63581859">
            <w:pPr>
              <w:jc w:val="center"/>
              <w:rPr>
                <w:rFonts w:hint="eastAsia" w:ascii="仿宋_GB2312" w:hAnsi="仿宋_GB2312" w:eastAsia="仿宋_GB2312" w:cs="仿宋_GB2312"/>
              </w:rPr>
            </w:pPr>
          </w:p>
        </w:tc>
        <w:tc>
          <w:tcPr>
            <w:tcW w:w="8080" w:type="dxa"/>
            <w:gridSpan w:val="4"/>
            <w:tcBorders>
              <w:top w:val="nil"/>
              <w:left w:val="single" w:color="auto" w:sz="4" w:space="0"/>
              <w:bottom w:val="single" w:color="auto" w:sz="4" w:space="0"/>
              <w:right w:val="single" w:color="auto" w:sz="4" w:space="0"/>
            </w:tcBorders>
            <w:shd w:val="clear" w:color="000000" w:fill="FFFFFF"/>
            <w:vAlign w:val="center"/>
          </w:tcPr>
          <w:p w14:paraId="3C4E1EAF">
            <w:pPr>
              <w:jc w:val="center"/>
              <w:rPr>
                <w:rFonts w:hint="eastAsia" w:ascii="仿宋_GB2312" w:hAnsi="仿宋_GB2312" w:eastAsia="仿宋_GB2312" w:cs="仿宋_GB2312"/>
                <w:sz w:val="22"/>
              </w:rPr>
            </w:pPr>
            <w:r>
              <w:rPr>
                <w:rFonts w:hint="eastAsia" w:ascii="仿宋_GB2312" w:hAnsi="仿宋_GB2312" w:eastAsia="仿宋_GB2312" w:cs="仿宋_GB2312"/>
                <w:sz w:val="22"/>
              </w:rPr>
              <w:t>……</w:t>
            </w:r>
          </w:p>
        </w:tc>
      </w:tr>
      <w:tr w14:paraId="005EBB35">
        <w:tblPrEx>
          <w:tblCellMar>
            <w:top w:w="0" w:type="dxa"/>
            <w:left w:w="108" w:type="dxa"/>
            <w:bottom w:w="0" w:type="dxa"/>
            <w:right w:w="108" w:type="dxa"/>
          </w:tblCellMar>
        </w:tblPrEx>
        <w:trPr>
          <w:trHeight w:val="423" w:hRule="atLeast"/>
        </w:trPr>
        <w:tc>
          <w:tcPr>
            <w:tcW w:w="856" w:type="dxa"/>
            <w:vMerge w:val="continue"/>
            <w:tcBorders>
              <w:left w:val="single" w:color="auto" w:sz="4" w:space="0"/>
              <w:right w:val="single" w:color="auto" w:sz="4" w:space="0"/>
            </w:tcBorders>
            <w:shd w:val="clear" w:color="000000" w:fill="FFFFFF"/>
          </w:tcPr>
          <w:p w14:paraId="603C8709">
            <w:pPr>
              <w:jc w:val="center"/>
              <w:rPr>
                <w:rFonts w:hint="eastAsia" w:ascii="仿宋_GB2312" w:hAnsi="仿宋_GB2312" w:eastAsia="仿宋_GB2312" w:cs="仿宋_GB2312"/>
              </w:rPr>
            </w:pPr>
          </w:p>
        </w:tc>
        <w:tc>
          <w:tcPr>
            <w:tcW w:w="845" w:type="dxa"/>
            <w:tcBorders>
              <w:top w:val="nil"/>
              <w:left w:val="single" w:color="auto" w:sz="4" w:space="0"/>
              <w:bottom w:val="single" w:color="auto" w:sz="4" w:space="0"/>
              <w:right w:val="single" w:color="auto" w:sz="4" w:space="0"/>
            </w:tcBorders>
            <w:shd w:val="clear" w:color="000000" w:fill="FFFFFF"/>
            <w:vAlign w:val="center"/>
          </w:tcPr>
          <w:p w14:paraId="29CAA7CA">
            <w:pPr>
              <w:jc w:val="center"/>
              <w:rPr>
                <w:rFonts w:hint="eastAsia" w:ascii="仿宋_GB2312" w:hAnsi="仿宋_GB2312" w:eastAsia="仿宋_GB2312" w:cs="仿宋_GB2312"/>
                <w:sz w:val="22"/>
              </w:rPr>
            </w:pPr>
            <w:r>
              <w:rPr>
                <w:rFonts w:hint="eastAsia" w:ascii="仿宋_GB2312" w:hAnsi="仿宋_GB2312" w:eastAsia="仿宋_GB2312" w:cs="仿宋_GB2312"/>
                <w:sz w:val="22"/>
              </w:rPr>
              <w:t>升温</w:t>
            </w:r>
          </w:p>
        </w:tc>
        <w:tc>
          <w:tcPr>
            <w:tcW w:w="2840" w:type="dxa"/>
            <w:tcBorders>
              <w:top w:val="nil"/>
              <w:left w:val="nil"/>
              <w:bottom w:val="single" w:color="auto" w:sz="4" w:space="0"/>
              <w:right w:val="single" w:color="auto" w:sz="4" w:space="0"/>
            </w:tcBorders>
            <w:shd w:val="clear" w:color="000000" w:fill="FFFFFF"/>
            <w:vAlign w:val="center"/>
          </w:tcPr>
          <w:p w14:paraId="09D80C18">
            <w:pPr>
              <w:jc w:val="center"/>
              <w:rPr>
                <w:rFonts w:hint="eastAsia" w:ascii="仿宋_GB2312" w:hAnsi="仿宋_GB2312" w:eastAsia="仿宋_GB2312" w:cs="仿宋_GB2312"/>
                <w:sz w:val="22"/>
              </w:rPr>
            </w:pPr>
            <w:r>
              <w:rPr>
                <w:rFonts w:hint="eastAsia" w:ascii="仿宋_GB2312" w:hAnsi="仿宋_GB2312" w:eastAsia="仿宋_GB2312" w:cs="仿宋_GB2312"/>
                <w:sz w:val="22"/>
              </w:rPr>
              <w:t>配料工使用蒸汽进行加热后混料，容易发生烫伤</w:t>
            </w:r>
          </w:p>
        </w:tc>
        <w:tc>
          <w:tcPr>
            <w:tcW w:w="1134" w:type="dxa"/>
            <w:tcBorders>
              <w:top w:val="nil"/>
              <w:left w:val="nil"/>
              <w:bottom w:val="single" w:color="auto" w:sz="4" w:space="0"/>
              <w:right w:val="single" w:color="auto" w:sz="4" w:space="0"/>
            </w:tcBorders>
            <w:shd w:val="clear" w:color="000000" w:fill="FFFFFF"/>
            <w:vAlign w:val="center"/>
          </w:tcPr>
          <w:p w14:paraId="7CAD7F7D">
            <w:pPr>
              <w:jc w:val="center"/>
              <w:rPr>
                <w:rFonts w:hint="eastAsia" w:ascii="仿宋_GB2312" w:hAnsi="仿宋_GB2312" w:eastAsia="仿宋_GB2312" w:cs="仿宋_GB2312"/>
                <w:sz w:val="22"/>
              </w:rPr>
            </w:pPr>
            <w:r>
              <w:rPr>
                <w:rFonts w:hint="eastAsia" w:ascii="仿宋_GB2312" w:hAnsi="仿宋_GB2312" w:eastAsia="仿宋_GB2312" w:cs="仿宋_GB2312"/>
                <w:sz w:val="22"/>
              </w:rPr>
              <w:t>灼烫</w:t>
            </w:r>
          </w:p>
        </w:tc>
        <w:tc>
          <w:tcPr>
            <w:tcW w:w="3261" w:type="dxa"/>
            <w:tcBorders>
              <w:top w:val="nil"/>
              <w:left w:val="nil"/>
              <w:bottom w:val="single" w:color="auto" w:sz="4" w:space="0"/>
              <w:right w:val="single" w:color="auto" w:sz="4" w:space="0"/>
            </w:tcBorders>
            <w:shd w:val="clear" w:color="000000" w:fill="FFFFFF"/>
            <w:vAlign w:val="center"/>
          </w:tcPr>
          <w:p w14:paraId="53B80882">
            <w:pPr>
              <w:rPr>
                <w:rFonts w:hint="eastAsia" w:ascii="仿宋_GB2312" w:hAnsi="仿宋_GB2312" w:eastAsia="仿宋_GB2312" w:cs="仿宋_GB2312"/>
                <w:sz w:val="22"/>
              </w:rPr>
            </w:pPr>
            <w:r>
              <w:rPr>
                <w:rFonts w:hint="eastAsia" w:ascii="仿宋_GB2312" w:hAnsi="仿宋_GB2312" w:eastAsia="仿宋_GB2312" w:cs="仿宋_GB2312"/>
                <w:sz w:val="22"/>
              </w:rPr>
              <w:t>现场张贴警示标识；</w:t>
            </w:r>
          </w:p>
        </w:tc>
      </w:tr>
      <w:tr w14:paraId="222D0EC1">
        <w:tblPrEx>
          <w:tblCellMar>
            <w:top w:w="0" w:type="dxa"/>
            <w:left w:w="108" w:type="dxa"/>
            <w:bottom w:w="0" w:type="dxa"/>
            <w:right w:w="108" w:type="dxa"/>
          </w:tblCellMar>
        </w:tblPrEx>
        <w:trPr>
          <w:trHeight w:val="423" w:hRule="atLeast"/>
        </w:trPr>
        <w:tc>
          <w:tcPr>
            <w:tcW w:w="856" w:type="dxa"/>
            <w:tcBorders>
              <w:left w:val="single" w:color="auto" w:sz="4" w:space="0"/>
              <w:bottom w:val="single" w:color="000000" w:sz="4" w:space="0"/>
              <w:right w:val="single" w:color="auto" w:sz="4" w:space="0"/>
            </w:tcBorders>
            <w:shd w:val="clear" w:color="000000" w:fill="FFFFFF"/>
          </w:tcPr>
          <w:p w14:paraId="39A0A067">
            <w:pPr>
              <w:jc w:val="center"/>
              <w:rPr>
                <w:rFonts w:hint="eastAsia" w:ascii="仿宋_GB2312" w:hAnsi="仿宋_GB2312" w:eastAsia="仿宋_GB2312" w:cs="仿宋_GB2312"/>
              </w:rPr>
            </w:pPr>
          </w:p>
        </w:tc>
        <w:tc>
          <w:tcPr>
            <w:tcW w:w="8080" w:type="dxa"/>
            <w:gridSpan w:val="4"/>
            <w:tcBorders>
              <w:top w:val="single" w:color="auto" w:sz="4" w:space="0"/>
              <w:left w:val="single" w:color="auto" w:sz="4" w:space="0"/>
              <w:bottom w:val="single" w:color="auto" w:sz="4" w:space="0"/>
              <w:right w:val="single" w:color="auto" w:sz="4" w:space="0"/>
            </w:tcBorders>
            <w:shd w:val="clear" w:color="000000" w:fill="FFFFFF"/>
            <w:vAlign w:val="center"/>
          </w:tcPr>
          <w:p w14:paraId="22503381">
            <w:pPr>
              <w:jc w:val="center"/>
              <w:rPr>
                <w:rFonts w:hint="eastAsia" w:ascii="仿宋_GB2312" w:hAnsi="仿宋_GB2312" w:eastAsia="仿宋_GB2312" w:cs="仿宋_GB2312"/>
                <w:sz w:val="22"/>
              </w:rPr>
            </w:pPr>
            <w:r>
              <w:rPr>
                <w:rFonts w:hint="eastAsia" w:ascii="仿宋_GB2312" w:hAnsi="仿宋_GB2312" w:eastAsia="仿宋_GB2312" w:cs="仿宋_GB2312"/>
                <w:sz w:val="22"/>
              </w:rPr>
              <w:t>……</w:t>
            </w:r>
          </w:p>
        </w:tc>
      </w:tr>
    </w:tbl>
    <w:p w14:paraId="1BFD72AD">
      <w:pPr>
        <w:outlineLvl w:val="1"/>
        <w:rPr>
          <w:rFonts w:hint="eastAsia" w:ascii="仿宋_GB2312" w:hAnsi="仿宋_GB2312" w:eastAsia="仿宋_GB2312" w:cs="仿宋_GB2312"/>
          <w:sz w:val="32"/>
          <w:szCs w:val="32"/>
        </w:rPr>
      </w:pPr>
      <w:bookmarkStart w:id="59" w:name="_Toc466454115"/>
      <w:bookmarkStart w:id="60" w:name="_Toc448219041"/>
      <w:r>
        <w:rPr>
          <w:rFonts w:hint="eastAsia" w:ascii="仿宋_GB2312" w:hAnsi="仿宋_GB2312" w:eastAsia="仿宋_GB2312" w:cs="仿宋_GB2312"/>
          <w:sz w:val="32"/>
          <w:szCs w:val="32"/>
        </w:rPr>
        <w:t>8.1.3  危险源辨识应考虑的因素</w:t>
      </w:r>
      <w:bookmarkEnd w:id="59"/>
      <w:bookmarkEnd w:id="60"/>
    </w:p>
    <w:p w14:paraId="447C095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辨识的危险源应覆盖国家安监总局下发的《开展工贸企业较大危险因素辨识管控提升防范事故能力行动计划的通知》（安监总管四〔2016〕31号）中《轻工行业较大危险因素辨识与防范指导手册》中提及的较大危险因素，确保不遗漏。</w:t>
      </w:r>
    </w:p>
    <w:p w14:paraId="21C3193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辨识时应充分考虑以下活动、设施、过程：</w:t>
      </w:r>
    </w:p>
    <w:p w14:paraId="3DF5BE1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（1）常规和非常规活动；</w:t>
      </w:r>
    </w:p>
    <w:p w14:paraId="693F0E7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（2）所有进入作业场所的人员（包括承包方人员和访问者）的活动；</w:t>
      </w:r>
    </w:p>
    <w:p w14:paraId="781AA17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（3）人的行为、能力及其他人为因素；</w:t>
      </w:r>
    </w:p>
    <w:p w14:paraId="6855B52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（4）来自工作场所外部对工作场所内组织控制下的人员造成不利于职业健康安全的危险源；</w:t>
      </w:r>
    </w:p>
    <w:p w14:paraId="1652B01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（5）来自工作场所周边、由组织控制下的与工作有关的活动产生的危险源；</w:t>
      </w:r>
    </w:p>
    <w:p w14:paraId="5C5966B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（6）工作场所的基础设施、设备和材料，无论由本组织或其它单位提供；</w:t>
      </w:r>
    </w:p>
    <w:p w14:paraId="3308B2B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（7）组织、组织的活动或材料的变化或已纳入计划的变化；</w:t>
      </w:r>
    </w:p>
    <w:p w14:paraId="592F1C4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（8）职业健康安全管理体系的变更，包括临时的变化及其对运行、过程和活动的影响；</w:t>
      </w:r>
    </w:p>
    <w:p w14:paraId="5E097F9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（9）任何与风险评价和必要控制方法的实施有关的适用的法定义务；</w:t>
      </w:r>
    </w:p>
    <w:p w14:paraId="6E1552D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（10）工作场所、过程、装置、机械/设备、运行程序和工作组织的设计，包括其与人的能力相适应。</w:t>
      </w:r>
    </w:p>
    <w:p w14:paraId="4ABD3F4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辨识时应考虑三种时态：过去、现在、将来。</w:t>
      </w:r>
    </w:p>
    <w:p w14:paraId="2425F22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辨识时应考虑三种状态：正常、异常、紧急。</w:t>
      </w:r>
    </w:p>
    <w:p w14:paraId="14FB659A">
      <w:pPr>
        <w:outlineLvl w:val="1"/>
        <w:rPr>
          <w:rFonts w:hint="eastAsia" w:ascii="仿宋_GB2312" w:hAnsi="仿宋_GB2312" w:eastAsia="仿宋_GB2312" w:cs="仿宋_GB2312"/>
          <w:sz w:val="32"/>
          <w:szCs w:val="32"/>
        </w:rPr>
      </w:pPr>
      <w:bookmarkStart w:id="61" w:name="_Toc448219042"/>
      <w:bookmarkStart w:id="62" w:name="_Toc466454116"/>
      <w:r>
        <w:rPr>
          <w:rFonts w:hint="eastAsia" w:ascii="仿宋_GB2312" w:hAnsi="仿宋_GB2312" w:eastAsia="仿宋_GB2312" w:cs="仿宋_GB2312"/>
          <w:sz w:val="32"/>
          <w:szCs w:val="32"/>
        </w:rPr>
        <w:t>8.1.4  危险源</w:t>
      </w:r>
      <w:bookmarkEnd w:id="61"/>
      <w:r>
        <w:rPr>
          <w:rFonts w:hint="eastAsia" w:ascii="仿宋_GB2312" w:hAnsi="仿宋_GB2312" w:eastAsia="仿宋_GB2312" w:cs="仿宋_GB2312"/>
          <w:sz w:val="32"/>
          <w:szCs w:val="32"/>
        </w:rPr>
        <w:t>分类</w:t>
      </w:r>
      <w:bookmarkEnd w:id="62"/>
    </w:p>
    <w:p w14:paraId="7CFA8EF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依据GB／T13861—2009《生产过程危险和危害因素分类与代码》，将危险因素分为人的因素、物的因素、环境因素、管理因素四种</w:t>
      </w:r>
      <w:bookmarkStart w:id="63" w:name="_Toc448219043"/>
      <w:r>
        <w:rPr>
          <w:rFonts w:hint="eastAsia" w:ascii="仿宋_GB2312" w:hAnsi="仿宋_GB2312" w:eastAsia="仿宋_GB2312" w:cs="仿宋_GB2312"/>
          <w:sz w:val="32"/>
          <w:szCs w:val="32"/>
        </w:rPr>
        <w:t>。具体分类见附件3。</w:t>
      </w:r>
    </w:p>
    <w:p w14:paraId="5AFC028D">
      <w:pPr>
        <w:pStyle w:val="3"/>
        <w:spacing w:before="0" w:after="0" w:line="240" w:lineRule="auto"/>
        <w:rPr>
          <w:rFonts w:hint="eastAsia" w:ascii="仿宋_GB2312" w:hAnsi="仿宋_GB2312" w:eastAsia="仿宋_GB2312" w:cs="仿宋_GB2312"/>
          <w:b w:val="0"/>
        </w:rPr>
      </w:pPr>
      <w:bookmarkStart w:id="64" w:name="_Toc466454117"/>
      <w:r>
        <w:rPr>
          <w:rFonts w:hint="eastAsia" w:ascii="仿宋_GB2312" w:hAnsi="仿宋_GB2312" w:eastAsia="仿宋_GB2312" w:cs="仿宋_GB2312"/>
          <w:b w:val="0"/>
        </w:rPr>
        <w:t>8.1.5  可能导致的伤害及后果</w:t>
      </w:r>
      <w:bookmarkEnd w:id="63"/>
      <w:bookmarkEnd w:id="64"/>
    </w:p>
    <w:p w14:paraId="2AF6A488">
      <w:pPr>
        <w:pStyle w:val="29"/>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按照GB 6441－1986《企业职工伤亡分类》企业危险源导致后果分为以下类别：</w:t>
      </w:r>
    </w:p>
    <w:p w14:paraId="7BA15B15">
      <w:pPr>
        <w:pStyle w:val="28"/>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（1）物体打击；</w:t>
      </w:r>
    </w:p>
    <w:p w14:paraId="0D37A35C">
      <w:pPr>
        <w:pStyle w:val="29"/>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（2）车辆伤害；</w:t>
      </w:r>
    </w:p>
    <w:p w14:paraId="1981C7E1">
      <w:pPr>
        <w:pStyle w:val="29"/>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（3）机械伤害；</w:t>
      </w:r>
    </w:p>
    <w:p w14:paraId="29BBE14A">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（4）起重伤害；</w:t>
      </w:r>
    </w:p>
    <w:p w14:paraId="393C86FF">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（5）触电；</w:t>
      </w:r>
    </w:p>
    <w:p w14:paraId="1F70D2D3">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（6）淹溺；</w:t>
      </w:r>
    </w:p>
    <w:p w14:paraId="02043B87">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（7）灼烫；</w:t>
      </w:r>
    </w:p>
    <w:p w14:paraId="227789D7">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（8）火灾；</w:t>
      </w:r>
    </w:p>
    <w:p w14:paraId="7E6DAB8D">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高处坠落；</w:t>
      </w:r>
    </w:p>
    <w:p w14:paraId="2B5FE617">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 锅炉爆炸；</w:t>
      </w:r>
    </w:p>
    <w:p w14:paraId="7B2F17ED">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（11）容器爆炸；</w:t>
      </w:r>
    </w:p>
    <w:p w14:paraId="08F58E7C">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（12）其他爆炸；</w:t>
      </w:r>
    </w:p>
    <w:p w14:paraId="313FA3ED">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（13）中毒和窒息；</w:t>
      </w:r>
    </w:p>
    <w:p w14:paraId="75638D47">
      <w:pPr>
        <w:pStyle w:val="30"/>
        <w:spacing w:before="0" w:beforeAutospacing="0" w:after="0" w:afterAutospacing="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（14）其他伤害。</w:t>
      </w:r>
    </w:p>
    <w:p w14:paraId="64338A36">
      <w:pPr>
        <w:pStyle w:val="2"/>
        <w:spacing w:before="0" w:after="0" w:line="240" w:lineRule="auto"/>
        <w:rPr>
          <w:rFonts w:hint="eastAsia" w:ascii="仿宋_GB2312" w:hAnsi="仿宋_GB2312" w:eastAsia="仿宋_GB2312" w:cs="仿宋_GB2312"/>
          <w:b w:val="0"/>
          <w:sz w:val="32"/>
          <w:szCs w:val="32"/>
        </w:rPr>
      </w:pPr>
      <w:bookmarkStart w:id="65" w:name="_Toc448219045"/>
      <w:bookmarkStart w:id="66" w:name="_Toc466454118"/>
      <w:r>
        <w:rPr>
          <w:rFonts w:hint="eastAsia" w:ascii="仿宋_GB2312" w:hAnsi="仿宋_GB2312" w:eastAsia="仿宋_GB2312" w:cs="仿宋_GB2312"/>
          <w:b w:val="0"/>
          <w:sz w:val="32"/>
          <w:szCs w:val="32"/>
        </w:rPr>
        <w:t>8.2  危险源评价</w:t>
      </w:r>
      <w:bookmarkEnd w:id="65"/>
      <w:r>
        <w:rPr>
          <w:rFonts w:hint="eastAsia" w:ascii="仿宋_GB2312" w:hAnsi="仿宋_GB2312" w:eastAsia="仿宋_GB2312" w:cs="仿宋_GB2312"/>
          <w:b w:val="0"/>
          <w:sz w:val="32"/>
          <w:szCs w:val="32"/>
        </w:rPr>
        <w:t>方法</w:t>
      </w:r>
      <w:bookmarkEnd w:id="66"/>
    </w:p>
    <w:p w14:paraId="21CECF5F">
      <w:pPr>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常见的风险评价方法主要有重点危险源辨识法、MES评价法、风险矩阵评价法、作业条件危险性评价法（LEC）、经验判断法等，公司采用了重大危险源辨识法、MES评价法和经验判断法相结合。具体方法参见附件4。</w:t>
      </w:r>
    </w:p>
    <w:p w14:paraId="6B0A40B2">
      <w:pPr>
        <w:pStyle w:val="6"/>
        <w:outlineLvl w:val="0"/>
        <w:rPr>
          <w:rFonts w:hint="eastAsia" w:ascii="仿宋_GB2312" w:hAnsi="仿宋_GB2312" w:eastAsia="仿宋_GB2312" w:cs="仿宋_GB2312"/>
          <w:sz w:val="32"/>
          <w:szCs w:val="32"/>
        </w:rPr>
      </w:pPr>
      <w:bookmarkStart w:id="67" w:name="_Toc466454119"/>
      <w:r>
        <w:rPr>
          <w:rFonts w:hint="eastAsia" w:ascii="仿宋_GB2312" w:hAnsi="仿宋_GB2312" w:eastAsia="仿宋_GB2312" w:cs="仿宋_GB2312"/>
          <w:sz w:val="32"/>
          <w:szCs w:val="32"/>
        </w:rPr>
        <w:t>8.3  危险源风险分级</w:t>
      </w:r>
      <w:bookmarkEnd w:id="67"/>
    </w:p>
    <w:p w14:paraId="442D5BD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鲁政办发『2016』36号要求，为便于下一步更好的开展工作，风险分为四级。8.2风险评价方法中已经将风险评价结果全部定义为四级风险，各企业也可以自行对风险等级对应的风险值进行重新定义，或自行制定分级标准对识别的风险进行分级。</w:t>
      </w:r>
    </w:p>
    <w:bookmarkEnd w:id="47"/>
    <w:bookmarkEnd w:id="48"/>
    <w:bookmarkEnd w:id="49"/>
    <w:p w14:paraId="6A563694">
      <w:pPr>
        <w:pStyle w:val="6"/>
        <w:outlineLvl w:val="0"/>
        <w:rPr>
          <w:rFonts w:hint="eastAsia" w:ascii="仿宋_GB2312" w:hAnsi="仿宋_GB2312" w:eastAsia="仿宋_GB2312" w:cs="仿宋_GB2312"/>
          <w:sz w:val="32"/>
          <w:szCs w:val="32"/>
        </w:rPr>
      </w:pPr>
      <w:bookmarkStart w:id="68" w:name="_Toc466454120"/>
      <w:bookmarkStart w:id="69" w:name="_Toc447207384"/>
      <w:bookmarkStart w:id="70" w:name="_Toc300841021"/>
      <w:bookmarkStart w:id="71" w:name="_Toc448219054"/>
      <w:bookmarkStart w:id="72" w:name="_Toc448219051"/>
      <w:r>
        <w:rPr>
          <w:rFonts w:hint="eastAsia" w:ascii="仿宋_GB2312" w:hAnsi="仿宋_GB2312" w:eastAsia="仿宋_GB2312" w:cs="仿宋_GB2312"/>
          <w:sz w:val="32"/>
          <w:szCs w:val="32"/>
        </w:rPr>
        <w:t>9  风险管控</w:t>
      </w:r>
      <w:bookmarkEnd w:id="68"/>
    </w:p>
    <w:p w14:paraId="1618C00D">
      <w:pPr>
        <w:pStyle w:val="3"/>
        <w:spacing w:before="0" w:after="0" w:line="240" w:lineRule="auto"/>
        <w:rPr>
          <w:rFonts w:hint="eastAsia" w:ascii="仿宋_GB2312" w:hAnsi="仿宋_GB2312" w:eastAsia="仿宋_GB2312" w:cs="仿宋_GB2312"/>
          <w:b w:val="0"/>
        </w:rPr>
      </w:pPr>
      <w:bookmarkStart w:id="73" w:name="_Toc466454121"/>
      <w:r>
        <w:rPr>
          <w:rFonts w:hint="eastAsia" w:ascii="仿宋_GB2312" w:hAnsi="仿宋_GB2312" w:eastAsia="仿宋_GB2312" w:cs="仿宋_GB2312"/>
          <w:b w:val="0"/>
        </w:rPr>
        <w:t>9.1  风险管控措施</w:t>
      </w:r>
      <w:bookmarkEnd w:id="73"/>
    </w:p>
    <w:p w14:paraId="5BB692BC">
      <w:pPr>
        <w:pStyle w:val="33"/>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在制定控制措施时，应依次按照工程控制措施、安全管理措施、个体防护措施及应急措施四个逻辑顺序对每个风险点制定精准的风险控制措施，控制措施分类如下：</w:t>
      </w:r>
    </w:p>
    <w:p w14:paraId="2DB3CF2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工程控制措施包括：</w:t>
      </w:r>
    </w:p>
    <w:p w14:paraId="4EF4D0B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消除或减弱危害——消除是通过对装置、设备设施、工艺等的设计来消除危险源，如采用机械提升装置以清除手举或提重物这一危险行为等；替代是能过用低危害物质替代或系统能量，如较低的动力、电流、电压、温度等；</w:t>
      </w:r>
    </w:p>
    <w:p w14:paraId="6B3B44C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（2）封闭——对产生或导致危害的设施或场所进行密闭；</w:t>
      </w:r>
    </w:p>
    <w:p w14:paraId="38E2B92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（3）隔离——通过隔离带、栅栏、警戒绳等把人与危险区域隔开，采用隔声罩以降低噪声等；</w:t>
      </w:r>
    </w:p>
    <w:p w14:paraId="6250223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（4）移开或改变方向——如危险及有毒气体的排放口。</w:t>
      </w:r>
    </w:p>
    <w:p w14:paraId="34D4E05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管理控制措施包括：</w:t>
      </w:r>
    </w:p>
    <w:p w14:paraId="2375AEB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（1）制定实施作业程序、安全许可、安全操作规程等；</w:t>
      </w:r>
    </w:p>
    <w:p w14:paraId="7B76365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（2）减少暴露时间（如异常温度或有害环境）；</w:t>
      </w:r>
    </w:p>
    <w:p w14:paraId="2C086E3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（3）监测监控（尤其是使用高毒物料的使用）；</w:t>
      </w:r>
    </w:p>
    <w:p w14:paraId="0784BAB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（4）警报和警示信号；</w:t>
      </w:r>
    </w:p>
    <w:p w14:paraId="7337380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（5）安全互助体系；</w:t>
      </w:r>
    </w:p>
    <w:p w14:paraId="5D88ADF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（6）培训；</w:t>
      </w:r>
    </w:p>
    <w:p w14:paraId="19CFB56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（7）风险转移（共担）。</w:t>
      </w:r>
    </w:p>
    <w:p w14:paraId="3431F28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个体防护措施包括：</w:t>
      </w:r>
    </w:p>
    <w:p w14:paraId="627CEC6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（1）个体防护用品包括：防护服、耳塞、听力防护罩、防护眼镜、防护手套、绝缘鞋、呼吸器等；</w:t>
      </w:r>
    </w:p>
    <w:p w14:paraId="4588BF4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（2）当工程控制措施不能消除或减弱危险有害因素时，均应采取防护措施；</w:t>
      </w:r>
    </w:p>
    <w:p w14:paraId="6ABDC14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（3）当处置异常或紧急情况时，应考虑佩戴防护用品；</w:t>
      </w:r>
    </w:p>
    <w:p w14:paraId="3BB64D4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（4）当发生变更，但风险控制措施还没有及时到位时，应考虑佩戴防护用品。</w:t>
      </w:r>
    </w:p>
    <w:p w14:paraId="4BA43D2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应急控制措施包括：</w:t>
      </w:r>
    </w:p>
    <w:p w14:paraId="60F12A7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（1）紧急情况分析、应急方案、现场处置方案的制定、应急物资的准备；</w:t>
      </w:r>
    </w:p>
    <w:p w14:paraId="025193E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（2）通过应急演练、培训等措施，确认和提高相关人员的应急能力，以防止和减少安全不良后果。</w:t>
      </w:r>
    </w:p>
    <w:p w14:paraId="5713D25C">
      <w:pPr>
        <w:pStyle w:val="3"/>
        <w:spacing w:before="0" w:after="0" w:line="240" w:lineRule="auto"/>
        <w:rPr>
          <w:rFonts w:hint="eastAsia" w:ascii="仿宋_GB2312" w:hAnsi="仿宋_GB2312" w:eastAsia="仿宋_GB2312" w:cs="仿宋_GB2312"/>
          <w:b w:val="0"/>
        </w:rPr>
      </w:pPr>
      <w:bookmarkStart w:id="74" w:name="_Toc466454122"/>
      <w:r>
        <w:rPr>
          <w:rFonts w:hint="eastAsia" w:ascii="仿宋_GB2312" w:hAnsi="仿宋_GB2312" w:eastAsia="仿宋_GB2312" w:cs="仿宋_GB2312"/>
          <w:b w:val="0"/>
        </w:rPr>
        <w:t>9.2  风险管控措施确定</w:t>
      </w:r>
      <w:bookmarkEnd w:id="74"/>
    </w:p>
    <w:p w14:paraId="330C06E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三四级风险控制措施由基层员工、班组长制定后，所在部门针对控制措施是否适宜进行评审，并根据评审结果进行完善，部门批准，作为一个时期内完善风险控制措施的基础信息。</w:t>
      </w:r>
    </w:p>
    <w:p w14:paraId="6AAC194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风险控制措施由安全管理部门组织风险所在部门、技术部门及危险岗位员工代表制定控制措施，一级风险控制措施由安全管理部门组织安委会成员制定管控措施，一、二级管控措施确定后报安委会批准，作为一个时期内完善风险控制措施的基础信息。</w:t>
      </w:r>
    </w:p>
    <w:p w14:paraId="7421FD1D">
      <w:pPr>
        <w:pStyle w:val="3"/>
        <w:spacing w:before="0" w:after="0" w:line="240" w:lineRule="auto"/>
        <w:rPr>
          <w:rFonts w:hint="eastAsia" w:ascii="仿宋_GB2312" w:hAnsi="仿宋_GB2312" w:eastAsia="仿宋_GB2312" w:cs="仿宋_GB2312"/>
          <w:b w:val="0"/>
        </w:rPr>
      </w:pPr>
      <w:bookmarkStart w:id="75" w:name="_Toc466454123"/>
      <w:r>
        <w:rPr>
          <w:rFonts w:hint="eastAsia" w:ascii="仿宋_GB2312" w:hAnsi="仿宋_GB2312" w:eastAsia="仿宋_GB2312" w:cs="仿宋_GB2312"/>
          <w:b w:val="0"/>
        </w:rPr>
        <w:t>9.</w:t>
      </w:r>
      <w:bookmarkStart w:id="76" w:name="_Toc453879277"/>
      <w:bookmarkStart w:id="77" w:name="_Toc452497344"/>
      <w:bookmarkStart w:id="78" w:name="_Toc452498401"/>
      <w:bookmarkStart w:id="79" w:name="_Toc18808"/>
      <w:bookmarkStart w:id="80" w:name="_Toc18191"/>
      <w:bookmarkStart w:id="81" w:name="_Toc452497705"/>
      <w:r>
        <w:rPr>
          <w:rFonts w:hint="eastAsia" w:ascii="仿宋_GB2312" w:hAnsi="仿宋_GB2312" w:eastAsia="仿宋_GB2312" w:cs="仿宋_GB2312"/>
          <w:b w:val="0"/>
        </w:rPr>
        <w:t>3  风险分级管控</w:t>
      </w:r>
      <w:bookmarkEnd w:id="75"/>
      <w:bookmarkEnd w:id="76"/>
      <w:bookmarkEnd w:id="77"/>
      <w:bookmarkEnd w:id="78"/>
      <w:bookmarkEnd w:id="79"/>
      <w:bookmarkEnd w:id="80"/>
      <w:bookmarkEnd w:id="81"/>
    </w:p>
    <w:p w14:paraId="5D1F4FC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根据风险评价的分级结果，</w:t>
      </w:r>
      <w:bookmarkStart w:id="82" w:name="_Toc505"/>
      <w:r>
        <w:rPr>
          <w:rFonts w:hint="eastAsia" w:ascii="仿宋_GB2312" w:hAnsi="仿宋_GB2312" w:eastAsia="仿宋_GB2312" w:cs="仿宋_GB2312"/>
          <w:sz w:val="32"/>
          <w:szCs w:val="32"/>
        </w:rPr>
        <w:t>按照风险级别、所需的资源及岗位职责的划分、需具备的管控能力、管控措施的复杂性及难易程度等因素，确定不同的管控层级。</w:t>
      </w:r>
    </w:p>
    <w:p w14:paraId="40622D4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风险分级管控基本原则是：风险越大，管控级别越高；上级负责管控的风险，下级必须负责管控。</w:t>
      </w:r>
      <w:bookmarkEnd w:id="82"/>
    </w:p>
    <w:p w14:paraId="46AE5A1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如：一级风险可由公司直接管控，二级可由部门管控，三级由班组管控，四级由岗位员工自主管控。 </w:t>
      </w:r>
    </w:p>
    <w:p w14:paraId="2EF220C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根据风险分级情况，可结合隐患分级排查的操作要求，进行风险管控的责任分配。参见《隐患排查治理体系实施指南》。</w:t>
      </w:r>
    </w:p>
    <w:p w14:paraId="23F60F3D">
      <w:pPr>
        <w:pStyle w:val="6"/>
        <w:outlineLvl w:val="0"/>
        <w:rPr>
          <w:rFonts w:hint="eastAsia" w:ascii="仿宋_GB2312" w:hAnsi="仿宋_GB2312" w:eastAsia="仿宋_GB2312" w:cs="仿宋_GB2312"/>
          <w:sz w:val="32"/>
          <w:szCs w:val="32"/>
        </w:rPr>
      </w:pPr>
      <w:bookmarkStart w:id="83" w:name="_Toc466454124"/>
      <w:r>
        <w:rPr>
          <w:rFonts w:hint="eastAsia" w:ascii="仿宋_GB2312" w:hAnsi="仿宋_GB2312" w:eastAsia="仿宋_GB2312" w:cs="仿宋_GB2312"/>
          <w:sz w:val="32"/>
          <w:szCs w:val="32"/>
        </w:rPr>
        <w:t>10  变更管理</w:t>
      </w:r>
      <w:bookmarkEnd w:id="83"/>
    </w:p>
    <w:p w14:paraId="65340A3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当发生下列情形之一时，企业应组织相关人员及时进行危险源识别和风险评价分级，必要时，修改管控措施：</w:t>
      </w:r>
    </w:p>
    <w:p w14:paraId="6832C61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（1）法律法规及其它要求更新时；</w:t>
      </w:r>
    </w:p>
    <w:p w14:paraId="6061CC7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（2）产生新工艺、新设备、新材料、新项目、新区域；</w:t>
      </w:r>
    </w:p>
    <w:p w14:paraId="2D1D8BF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（3）当发生重大事故隐患或事故时；</w:t>
      </w:r>
    </w:p>
    <w:p w14:paraId="4ECBDC6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（4）相关方要求发生变动；</w:t>
      </w:r>
    </w:p>
    <w:p w14:paraId="0901882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（5）日常隐患排查情况；</w:t>
      </w:r>
    </w:p>
    <w:p w14:paraId="63A7CD3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（6）有工程土建、维修项目时；</w:t>
      </w:r>
    </w:p>
    <w:p w14:paraId="0369650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（7）本企业发生事故、事件后，必要时，应重新进行危险源识别、评价、风险管控措施的策划。</w:t>
      </w:r>
    </w:p>
    <w:p w14:paraId="527D77C0">
      <w:pPr>
        <w:pStyle w:val="6"/>
        <w:outlineLvl w:val="0"/>
        <w:rPr>
          <w:rFonts w:hint="eastAsia" w:ascii="仿宋_GB2312" w:hAnsi="仿宋_GB2312" w:eastAsia="仿宋_GB2312" w:cs="仿宋_GB2312"/>
          <w:sz w:val="32"/>
          <w:szCs w:val="32"/>
        </w:rPr>
      </w:pPr>
      <w:bookmarkStart w:id="84" w:name="_Toc466454125"/>
      <w:r>
        <w:rPr>
          <w:rFonts w:hint="eastAsia" w:ascii="仿宋_GB2312" w:hAnsi="仿宋_GB2312" w:eastAsia="仿宋_GB2312" w:cs="仿宋_GB2312"/>
          <w:sz w:val="32"/>
          <w:szCs w:val="32"/>
        </w:rPr>
        <w:t>11  持续改进</w:t>
      </w:r>
      <w:bookmarkEnd w:id="84"/>
    </w:p>
    <w:p w14:paraId="3853FE5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企业应定期对风险分级管控体系进行评审。</w:t>
      </w:r>
    </w:p>
    <w:p w14:paraId="4CBC16D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建议企业基于下述各方面的影响来考虑风险分级管控体系评审时间、安排和频次：</w:t>
      </w:r>
    </w:p>
    <w:p w14:paraId="1CA9250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——法律法规的变化；</w:t>
      </w:r>
    </w:p>
    <w:p w14:paraId="03939B1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——新危险源的相应需求；</w:t>
      </w:r>
    </w:p>
    <w:p w14:paraId="1B1F817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——企业自身所产生的变更需求；</w:t>
      </w:r>
    </w:p>
    <w:p w14:paraId="10F0B4D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——外部因素；</w:t>
      </w:r>
    </w:p>
    <w:p w14:paraId="5D6B8A0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——检查、事故事件、紧急情况或应急程序测试结果的反馈影响；</w:t>
      </w:r>
    </w:p>
    <w:p w14:paraId="57C1CC2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——控制技术的进步。</w:t>
      </w:r>
    </w:p>
    <w:p w14:paraId="79A893E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当表明现有的风险管控措施依然有效时，则无必要实施新的风险评价。反之，必须及时更新。</w:t>
      </w:r>
    </w:p>
    <w:p w14:paraId="2083A1CC">
      <w:pPr>
        <w:adjustRightInd w:val="0"/>
        <w:snapToGrid w:val="0"/>
        <w:ind w:firstLine="426"/>
        <w:rPr>
          <w:rFonts w:hint="eastAsia" w:ascii="仿宋_GB2312" w:hAnsi="仿宋_GB2312" w:eastAsia="仿宋_GB2312" w:cs="仿宋_GB2312"/>
          <w:sz w:val="28"/>
          <w:szCs w:val="28"/>
        </w:rPr>
      </w:pPr>
    </w:p>
    <w:p w14:paraId="1BBC758F">
      <w:pPr>
        <w:pStyle w:val="6"/>
        <w:outlineLvl w:val="0"/>
        <w:rPr>
          <w:rFonts w:hint="eastAsia" w:ascii="仿宋_GB2312" w:hAnsi="仿宋_GB2312" w:eastAsia="仿宋_GB2312" w:cs="仿宋_GB2312"/>
          <w:sz w:val="32"/>
          <w:szCs w:val="32"/>
        </w:rPr>
      </w:pPr>
      <w:bookmarkStart w:id="85" w:name="_Toc466454126"/>
      <w:r>
        <w:rPr>
          <w:rFonts w:hint="eastAsia" w:ascii="仿宋_GB2312" w:hAnsi="仿宋_GB2312" w:eastAsia="仿宋_GB2312" w:cs="仿宋_GB2312"/>
          <w:sz w:val="32"/>
          <w:szCs w:val="32"/>
        </w:rPr>
        <w:t>12  公告警示</w:t>
      </w:r>
      <w:bookmarkEnd w:id="85"/>
    </w:p>
    <w:p w14:paraId="5C1BE51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企业需要将主要危险源、风险等级、典型管控措施和应急措施予以公布，让每一名员工都了解各自岗位或系统对应的危险源的基本情况及防范、应急对策。</w:t>
      </w:r>
    </w:p>
    <w:p w14:paraId="7005B99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在安全风险岗位设置告知卡，职业危害岗位设置职业危害告知书，同时将本企业的一、二级危险源的有关信息及应急处理措施告知相邻企业、单位。</w:t>
      </w:r>
    </w:p>
    <w:p w14:paraId="669374D9">
      <w:pPr>
        <w:pStyle w:val="6"/>
        <w:outlineLvl w:val="0"/>
        <w:rPr>
          <w:rFonts w:hint="eastAsia" w:ascii="仿宋_GB2312" w:hAnsi="仿宋_GB2312" w:eastAsia="仿宋_GB2312" w:cs="仿宋_GB2312"/>
          <w:sz w:val="32"/>
          <w:szCs w:val="32"/>
        </w:rPr>
      </w:pPr>
      <w:bookmarkStart w:id="86" w:name="_Toc466454127"/>
      <w:r>
        <w:rPr>
          <w:rFonts w:hint="eastAsia" w:ascii="仿宋_GB2312" w:hAnsi="仿宋_GB2312" w:eastAsia="仿宋_GB2312" w:cs="仿宋_GB2312"/>
          <w:sz w:val="32"/>
          <w:szCs w:val="32"/>
        </w:rPr>
        <w:t>13  记录管理</w:t>
      </w:r>
      <w:bookmarkEnd w:id="86"/>
    </w:p>
    <w:p w14:paraId="1872932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记录结果应形成文件，至少应保留以下记录：</w:t>
      </w:r>
    </w:p>
    <w:p w14:paraId="37CF458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——生产经营单位基本信息；</w:t>
      </w:r>
    </w:p>
    <w:p w14:paraId="22E6DC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——危险源识别记录；</w:t>
      </w:r>
    </w:p>
    <w:p w14:paraId="6860667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——与危险源相关的评价分级记录；</w:t>
      </w:r>
    </w:p>
    <w:p w14:paraId="6FB3833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——控制危险源所采取措施的描述或引用；</w:t>
      </w:r>
    </w:p>
    <w:p w14:paraId="0ADB227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建立企业安全风险管控档案（或电子版档案），形成“一企一册”。</w:t>
      </w:r>
    </w:p>
    <w:p w14:paraId="5F75E07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企业结合职业健康安全管理体系中的记录管理程序，或按照安全生产标准化中的文档管理制度，对风险分级管控体系产生的记录、文档进行管理。确保记录或文档的标识、存放、保护、检索、保存和处置受控。</w:t>
      </w:r>
    </w:p>
    <w:bookmarkEnd w:id="69"/>
    <w:bookmarkEnd w:id="70"/>
    <w:bookmarkEnd w:id="71"/>
    <w:bookmarkEnd w:id="72"/>
    <w:p w14:paraId="75C1D181">
      <w:pPr>
        <w:pStyle w:val="33"/>
        <w:ind w:firstLine="640"/>
        <w:rPr>
          <w:rFonts w:hint="eastAsia" w:ascii="仿宋_GB2312" w:hAnsi="仿宋_GB2312" w:eastAsia="仿宋_GB2312" w:cs="仿宋_GB2312"/>
          <w:szCs w:val="32"/>
        </w:rPr>
      </w:pPr>
      <w:bookmarkStart w:id="87" w:name="_Toc191960562"/>
    </w:p>
    <w:p w14:paraId="3B537B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附件：1.危险源辨识与风险评价信息一览表</w:t>
      </w:r>
    </w:p>
    <w:bookmarkEnd w:id="87"/>
    <w:p w14:paraId="5A754CB0">
      <w:pPr>
        <w:ind w:firstLine="1600" w:firstLineChars="500"/>
        <w:rPr>
          <w:rFonts w:hint="eastAsia" w:ascii="仿宋_GB2312" w:hAnsi="仿宋_GB2312" w:eastAsia="仿宋_GB2312" w:cs="仿宋_GB2312"/>
          <w:color w:val="FF0000"/>
          <w:sz w:val="32"/>
          <w:szCs w:val="32"/>
        </w:rPr>
        <w:sectPr>
          <w:headerReference r:id="rId4" w:type="default"/>
          <w:footerReference r:id="rId5" w:type="default"/>
          <w:footerReference r:id="rId6" w:type="even"/>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color w:val="FF0000"/>
          <w:sz w:val="32"/>
          <w:szCs w:val="32"/>
        </w:rPr>
        <w:t>2.安全关键控制点</w:t>
      </w:r>
    </w:p>
    <w:p w14:paraId="6D6A7F43">
      <w:pPr>
        <w:jc w:val="left"/>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附件1：</w:t>
      </w:r>
    </w:p>
    <w:p w14:paraId="1BB3569F">
      <w:pPr>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危险源辨识与风险评价信息一览表</w:t>
      </w:r>
    </w:p>
    <w:p w14:paraId="62234E77">
      <w:pPr>
        <w:ind w:right="560"/>
        <w:rPr>
          <w:rFonts w:hint="eastAsia" w:ascii="仿宋_GB2312" w:hAnsi="仿宋_GB2312" w:eastAsia="仿宋_GB2312" w:cs="仿宋_GB2312"/>
          <w:sz w:val="28"/>
        </w:rPr>
      </w:pPr>
      <w:r>
        <w:rPr>
          <w:rFonts w:hint="eastAsia" w:ascii="仿宋_GB2312" w:hAnsi="仿宋_GB2312" w:eastAsia="仿宋_GB2312" w:cs="仿宋_GB2312"/>
          <w:sz w:val="28"/>
        </w:rPr>
        <w:t>辨识区域（部位、场所）：</w:t>
      </w:r>
    </w:p>
    <w:tbl>
      <w:tblPr>
        <w:tblStyle w:val="15"/>
        <w:tblW w:w="135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5"/>
        <w:gridCol w:w="1400"/>
        <w:gridCol w:w="2893"/>
        <w:gridCol w:w="871"/>
        <w:gridCol w:w="930"/>
        <w:gridCol w:w="4294"/>
        <w:gridCol w:w="438"/>
        <w:gridCol w:w="516"/>
        <w:gridCol w:w="440"/>
        <w:gridCol w:w="516"/>
        <w:gridCol w:w="663"/>
      </w:tblGrid>
      <w:tr w14:paraId="10E02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5" w:type="dxa"/>
            <w:vMerge w:val="restart"/>
          </w:tcPr>
          <w:p w14:paraId="739E176B">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 xml:space="preserve"> 序号 </w:t>
            </w:r>
          </w:p>
        </w:tc>
        <w:tc>
          <w:tcPr>
            <w:tcW w:w="1400" w:type="dxa"/>
            <w:vMerge w:val="restart"/>
          </w:tcPr>
          <w:p w14:paraId="3674B176">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 xml:space="preserve"> 工作任务 </w:t>
            </w:r>
          </w:p>
        </w:tc>
        <w:tc>
          <w:tcPr>
            <w:tcW w:w="2893" w:type="dxa"/>
            <w:vMerge w:val="restart"/>
          </w:tcPr>
          <w:p w14:paraId="37828F43">
            <w:pPr>
              <w:widowControl/>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 xml:space="preserve"> 危险源描述 </w:t>
            </w:r>
          </w:p>
        </w:tc>
        <w:tc>
          <w:tcPr>
            <w:tcW w:w="871" w:type="dxa"/>
            <w:vMerge w:val="restart"/>
          </w:tcPr>
          <w:p w14:paraId="0FAAFA78">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危险源类别</w:t>
            </w:r>
          </w:p>
        </w:tc>
        <w:tc>
          <w:tcPr>
            <w:tcW w:w="930" w:type="dxa"/>
            <w:vMerge w:val="restart"/>
          </w:tcPr>
          <w:p w14:paraId="60D5FE8A">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 xml:space="preserve">导致后果 </w:t>
            </w:r>
          </w:p>
        </w:tc>
        <w:tc>
          <w:tcPr>
            <w:tcW w:w="4294" w:type="dxa"/>
            <w:vMerge w:val="restart"/>
          </w:tcPr>
          <w:p w14:paraId="55FAF616">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 xml:space="preserve"> 控制措施 </w:t>
            </w:r>
          </w:p>
        </w:tc>
        <w:tc>
          <w:tcPr>
            <w:tcW w:w="2573" w:type="dxa"/>
            <w:gridSpan w:val="5"/>
          </w:tcPr>
          <w:p w14:paraId="1B38BFA3">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风险分析</w:t>
            </w:r>
          </w:p>
        </w:tc>
      </w:tr>
      <w:tr w14:paraId="04DD1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635" w:type="dxa"/>
            <w:vMerge w:val="continue"/>
          </w:tcPr>
          <w:p w14:paraId="02E8A81F">
            <w:pPr>
              <w:widowControl/>
              <w:jc w:val="left"/>
              <w:rPr>
                <w:rFonts w:hint="eastAsia" w:ascii="仿宋_GB2312" w:hAnsi="仿宋_GB2312" w:eastAsia="仿宋_GB2312" w:cs="仿宋_GB2312"/>
                <w:kern w:val="0"/>
                <w:sz w:val="20"/>
                <w:szCs w:val="20"/>
              </w:rPr>
            </w:pPr>
          </w:p>
        </w:tc>
        <w:tc>
          <w:tcPr>
            <w:tcW w:w="1400" w:type="dxa"/>
            <w:vMerge w:val="continue"/>
          </w:tcPr>
          <w:p w14:paraId="0766E6BC">
            <w:pPr>
              <w:widowControl/>
              <w:jc w:val="left"/>
              <w:rPr>
                <w:rFonts w:hint="eastAsia" w:ascii="仿宋_GB2312" w:hAnsi="仿宋_GB2312" w:eastAsia="仿宋_GB2312" w:cs="仿宋_GB2312"/>
                <w:kern w:val="0"/>
                <w:sz w:val="20"/>
                <w:szCs w:val="20"/>
              </w:rPr>
            </w:pPr>
          </w:p>
        </w:tc>
        <w:tc>
          <w:tcPr>
            <w:tcW w:w="2893" w:type="dxa"/>
            <w:vMerge w:val="continue"/>
          </w:tcPr>
          <w:p w14:paraId="3690B937">
            <w:pPr>
              <w:widowControl/>
              <w:jc w:val="left"/>
              <w:rPr>
                <w:rFonts w:hint="eastAsia" w:ascii="仿宋_GB2312" w:hAnsi="仿宋_GB2312" w:eastAsia="仿宋_GB2312" w:cs="仿宋_GB2312"/>
                <w:kern w:val="0"/>
                <w:sz w:val="20"/>
                <w:szCs w:val="20"/>
              </w:rPr>
            </w:pPr>
          </w:p>
        </w:tc>
        <w:tc>
          <w:tcPr>
            <w:tcW w:w="871" w:type="dxa"/>
            <w:vMerge w:val="continue"/>
          </w:tcPr>
          <w:p w14:paraId="33456E99">
            <w:pPr>
              <w:widowControl/>
              <w:jc w:val="left"/>
              <w:rPr>
                <w:rFonts w:hint="eastAsia" w:ascii="仿宋_GB2312" w:hAnsi="仿宋_GB2312" w:eastAsia="仿宋_GB2312" w:cs="仿宋_GB2312"/>
                <w:kern w:val="0"/>
                <w:sz w:val="20"/>
                <w:szCs w:val="20"/>
              </w:rPr>
            </w:pPr>
          </w:p>
        </w:tc>
        <w:tc>
          <w:tcPr>
            <w:tcW w:w="930" w:type="dxa"/>
            <w:vMerge w:val="continue"/>
          </w:tcPr>
          <w:p w14:paraId="2AFF2C3F">
            <w:pPr>
              <w:widowControl/>
              <w:jc w:val="left"/>
              <w:rPr>
                <w:rFonts w:hint="eastAsia" w:ascii="仿宋_GB2312" w:hAnsi="仿宋_GB2312" w:eastAsia="仿宋_GB2312" w:cs="仿宋_GB2312"/>
                <w:kern w:val="0"/>
                <w:sz w:val="20"/>
                <w:szCs w:val="20"/>
              </w:rPr>
            </w:pPr>
          </w:p>
        </w:tc>
        <w:tc>
          <w:tcPr>
            <w:tcW w:w="4294" w:type="dxa"/>
            <w:vMerge w:val="continue"/>
          </w:tcPr>
          <w:p w14:paraId="729D645D">
            <w:pPr>
              <w:widowControl/>
              <w:jc w:val="left"/>
              <w:rPr>
                <w:rFonts w:hint="eastAsia" w:ascii="仿宋_GB2312" w:hAnsi="仿宋_GB2312" w:eastAsia="仿宋_GB2312" w:cs="仿宋_GB2312"/>
                <w:kern w:val="0"/>
                <w:sz w:val="20"/>
                <w:szCs w:val="20"/>
              </w:rPr>
            </w:pPr>
          </w:p>
        </w:tc>
        <w:tc>
          <w:tcPr>
            <w:tcW w:w="438" w:type="dxa"/>
          </w:tcPr>
          <w:p w14:paraId="091AFFF0">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M</w:t>
            </w:r>
          </w:p>
        </w:tc>
        <w:tc>
          <w:tcPr>
            <w:tcW w:w="516" w:type="dxa"/>
          </w:tcPr>
          <w:p w14:paraId="671CEA30">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E</w:t>
            </w:r>
          </w:p>
        </w:tc>
        <w:tc>
          <w:tcPr>
            <w:tcW w:w="440" w:type="dxa"/>
          </w:tcPr>
          <w:p w14:paraId="4BFD0D15">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w:t>
            </w:r>
          </w:p>
        </w:tc>
        <w:tc>
          <w:tcPr>
            <w:tcW w:w="516" w:type="dxa"/>
          </w:tcPr>
          <w:p w14:paraId="7048EE81">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R</w:t>
            </w:r>
          </w:p>
        </w:tc>
        <w:tc>
          <w:tcPr>
            <w:tcW w:w="663" w:type="dxa"/>
          </w:tcPr>
          <w:p w14:paraId="22F15C13">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等级</w:t>
            </w:r>
          </w:p>
        </w:tc>
      </w:tr>
      <w:tr w14:paraId="10ACC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4714910C">
            <w:pPr>
              <w:widowControl/>
              <w:jc w:val="center"/>
              <w:rPr>
                <w:rFonts w:hint="eastAsia" w:ascii="仿宋_GB2312" w:hAnsi="仿宋_GB2312" w:eastAsia="仿宋_GB2312" w:cs="仿宋_GB2312"/>
                <w:kern w:val="0"/>
                <w:sz w:val="20"/>
                <w:szCs w:val="20"/>
              </w:rPr>
            </w:pPr>
          </w:p>
        </w:tc>
        <w:tc>
          <w:tcPr>
            <w:tcW w:w="1400" w:type="dxa"/>
          </w:tcPr>
          <w:p w14:paraId="653F17D9">
            <w:pPr>
              <w:widowControl/>
              <w:jc w:val="center"/>
              <w:rPr>
                <w:rFonts w:hint="eastAsia" w:ascii="仿宋_GB2312" w:hAnsi="仿宋_GB2312" w:eastAsia="仿宋_GB2312" w:cs="仿宋_GB2312"/>
                <w:kern w:val="0"/>
                <w:sz w:val="20"/>
                <w:szCs w:val="20"/>
              </w:rPr>
            </w:pPr>
          </w:p>
        </w:tc>
        <w:tc>
          <w:tcPr>
            <w:tcW w:w="2893" w:type="dxa"/>
          </w:tcPr>
          <w:p w14:paraId="58D28D54">
            <w:pPr>
              <w:widowControl/>
              <w:jc w:val="left"/>
              <w:rPr>
                <w:rFonts w:hint="eastAsia" w:ascii="仿宋_GB2312" w:hAnsi="仿宋_GB2312" w:eastAsia="仿宋_GB2312" w:cs="仿宋_GB2312"/>
                <w:kern w:val="0"/>
                <w:sz w:val="20"/>
                <w:szCs w:val="20"/>
              </w:rPr>
            </w:pPr>
          </w:p>
        </w:tc>
        <w:tc>
          <w:tcPr>
            <w:tcW w:w="871" w:type="dxa"/>
          </w:tcPr>
          <w:p w14:paraId="78570B3A">
            <w:pPr>
              <w:widowControl/>
              <w:jc w:val="center"/>
              <w:rPr>
                <w:rFonts w:hint="eastAsia" w:ascii="仿宋_GB2312" w:hAnsi="仿宋_GB2312" w:eastAsia="仿宋_GB2312" w:cs="仿宋_GB2312"/>
                <w:kern w:val="0"/>
                <w:sz w:val="20"/>
                <w:szCs w:val="20"/>
              </w:rPr>
            </w:pPr>
          </w:p>
        </w:tc>
        <w:tc>
          <w:tcPr>
            <w:tcW w:w="930" w:type="dxa"/>
          </w:tcPr>
          <w:p w14:paraId="6CCFC53B">
            <w:pPr>
              <w:widowControl/>
              <w:jc w:val="center"/>
              <w:rPr>
                <w:rFonts w:hint="eastAsia" w:ascii="仿宋_GB2312" w:hAnsi="仿宋_GB2312" w:eastAsia="仿宋_GB2312" w:cs="仿宋_GB2312"/>
                <w:kern w:val="0"/>
                <w:sz w:val="20"/>
                <w:szCs w:val="20"/>
              </w:rPr>
            </w:pPr>
          </w:p>
        </w:tc>
        <w:tc>
          <w:tcPr>
            <w:tcW w:w="4294" w:type="dxa"/>
          </w:tcPr>
          <w:p w14:paraId="3B213A91">
            <w:pPr>
              <w:widowControl/>
              <w:jc w:val="center"/>
              <w:rPr>
                <w:rFonts w:hint="eastAsia" w:ascii="仿宋_GB2312" w:hAnsi="仿宋_GB2312" w:eastAsia="仿宋_GB2312" w:cs="仿宋_GB2312"/>
                <w:kern w:val="0"/>
                <w:sz w:val="20"/>
                <w:szCs w:val="20"/>
              </w:rPr>
            </w:pPr>
          </w:p>
        </w:tc>
        <w:tc>
          <w:tcPr>
            <w:tcW w:w="438" w:type="dxa"/>
          </w:tcPr>
          <w:p w14:paraId="1023761E">
            <w:pPr>
              <w:widowControl/>
              <w:jc w:val="center"/>
              <w:rPr>
                <w:rFonts w:hint="eastAsia" w:ascii="仿宋_GB2312" w:hAnsi="仿宋_GB2312" w:eastAsia="仿宋_GB2312" w:cs="仿宋_GB2312"/>
                <w:kern w:val="0"/>
                <w:sz w:val="20"/>
                <w:szCs w:val="20"/>
              </w:rPr>
            </w:pPr>
          </w:p>
        </w:tc>
        <w:tc>
          <w:tcPr>
            <w:tcW w:w="516" w:type="dxa"/>
          </w:tcPr>
          <w:p w14:paraId="06477646">
            <w:pPr>
              <w:widowControl/>
              <w:jc w:val="center"/>
              <w:rPr>
                <w:rFonts w:hint="eastAsia" w:ascii="仿宋_GB2312" w:hAnsi="仿宋_GB2312" w:eastAsia="仿宋_GB2312" w:cs="仿宋_GB2312"/>
                <w:kern w:val="0"/>
                <w:sz w:val="20"/>
                <w:szCs w:val="20"/>
              </w:rPr>
            </w:pPr>
          </w:p>
        </w:tc>
        <w:tc>
          <w:tcPr>
            <w:tcW w:w="440" w:type="dxa"/>
          </w:tcPr>
          <w:p w14:paraId="0BD85BAC">
            <w:pPr>
              <w:widowControl/>
              <w:jc w:val="center"/>
              <w:rPr>
                <w:rFonts w:hint="eastAsia" w:ascii="仿宋_GB2312" w:hAnsi="仿宋_GB2312" w:eastAsia="仿宋_GB2312" w:cs="仿宋_GB2312"/>
                <w:kern w:val="0"/>
                <w:sz w:val="20"/>
                <w:szCs w:val="20"/>
              </w:rPr>
            </w:pPr>
          </w:p>
        </w:tc>
        <w:tc>
          <w:tcPr>
            <w:tcW w:w="516" w:type="dxa"/>
          </w:tcPr>
          <w:p w14:paraId="3986EDC7">
            <w:pPr>
              <w:widowControl/>
              <w:jc w:val="center"/>
              <w:rPr>
                <w:rFonts w:hint="eastAsia" w:ascii="仿宋_GB2312" w:hAnsi="仿宋_GB2312" w:eastAsia="仿宋_GB2312" w:cs="仿宋_GB2312"/>
                <w:kern w:val="0"/>
                <w:sz w:val="20"/>
                <w:szCs w:val="20"/>
              </w:rPr>
            </w:pPr>
          </w:p>
        </w:tc>
        <w:tc>
          <w:tcPr>
            <w:tcW w:w="663" w:type="dxa"/>
          </w:tcPr>
          <w:p w14:paraId="38F9D51E">
            <w:pPr>
              <w:widowControl/>
              <w:jc w:val="center"/>
              <w:rPr>
                <w:rFonts w:hint="eastAsia" w:ascii="仿宋_GB2312" w:hAnsi="仿宋_GB2312" w:eastAsia="仿宋_GB2312" w:cs="仿宋_GB2312"/>
                <w:kern w:val="0"/>
                <w:sz w:val="20"/>
                <w:szCs w:val="20"/>
              </w:rPr>
            </w:pPr>
          </w:p>
        </w:tc>
      </w:tr>
      <w:tr w14:paraId="685C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60A4E5CB">
            <w:pPr>
              <w:widowControl/>
              <w:jc w:val="center"/>
              <w:rPr>
                <w:rFonts w:hint="eastAsia" w:ascii="仿宋_GB2312" w:hAnsi="仿宋_GB2312" w:eastAsia="仿宋_GB2312" w:cs="仿宋_GB2312"/>
                <w:kern w:val="0"/>
                <w:sz w:val="20"/>
                <w:szCs w:val="20"/>
              </w:rPr>
            </w:pPr>
          </w:p>
        </w:tc>
        <w:tc>
          <w:tcPr>
            <w:tcW w:w="1400" w:type="dxa"/>
          </w:tcPr>
          <w:p w14:paraId="5147AD91">
            <w:pPr>
              <w:widowControl/>
              <w:jc w:val="center"/>
              <w:rPr>
                <w:rFonts w:hint="eastAsia" w:ascii="仿宋_GB2312" w:hAnsi="仿宋_GB2312" w:eastAsia="仿宋_GB2312" w:cs="仿宋_GB2312"/>
                <w:kern w:val="0"/>
                <w:sz w:val="20"/>
                <w:szCs w:val="20"/>
              </w:rPr>
            </w:pPr>
          </w:p>
        </w:tc>
        <w:tc>
          <w:tcPr>
            <w:tcW w:w="2893" w:type="dxa"/>
          </w:tcPr>
          <w:p w14:paraId="7ECEB7D1">
            <w:pPr>
              <w:widowControl/>
              <w:jc w:val="left"/>
              <w:rPr>
                <w:rFonts w:hint="eastAsia" w:ascii="仿宋_GB2312" w:hAnsi="仿宋_GB2312" w:eastAsia="仿宋_GB2312" w:cs="仿宋_GB2312"/>
                <w:kern w:val="0"/>
                <w:sz w:val="20"/>
                <w:szCs w:val="20"/>
              </w:rPr>
            </w:pPr>
          </w:p>
        </w:tc>
        <w:tc>
          <w:tcPr>
            <w:tcW w:w="871" w:type="dxa"/>
          </w:tcPr>
          <w:p w14:paraId="60C3E4D0">
            <w:pPr>
              <w:widowControl/>
              <w:jc w:val="center"/>
              <w:rPr>
                <w:rFonts w:hint="eastAsia" w:ascii="仿宋_GB2312" w:hAnsi="仿宋_GB2312" w:eastAsia="仿宋_GB2312" w:cs="仿宋_GB2312"/>
                <w:kern w:val="0"/>
                <w:sz w:val="20"/>
                <w:szCs w:val="20"/>
              </w:rPr>
            </w:pPr>
          </w:p>
        </w:tc>
        <w:tc>
          <w:tcPr>
            <w:tcW w:w="930" w:type="dxa"/>
          </w:tcPr>
          <w:p w14:paraId="126A1C4C">
            <w:pPr>
              <w:widowControl/>
              <w:jc w:val="center"/>
              <w:rPr>
                <w:rFonts w:hint="eastAsia" w:ascii="仿宋_GB2312" w:hAnsi="仿宋_GB2312" w:eastAsia="仿宋_GB2312" w:cs="仿宋_GB2312"/>
                <w:kern w:val="0"/>
                <w:sz w:val="20"/>
                <w:szCs w:val="20"/>
              </w:rPr>
            </w:pPr>
          </w:p>
        </w:tc>
        <w:tc>
          <w:tcPr>
            <w:tcW w:w="4294" w:type="dxa"/>
          </w:tcPr>
          <w:p w14:paraId="471D5065">
            <w:pPr>
              <w:widowControl/>
              <w:jc w:val="center"/>
              <w:rPr>
                <w:rFonts w:hint="eastAsia" w:ascii="仿宋_GB2312" w:hAnsi="仿宋_GB2312" w:eastAsia="仿宋_GB2312" w:cs="仿宋_GB2312"/>
                <w:kern w:val="0"/>
                <w:sz w:val="20"/>
                <w:szCs w:val="20"/>
              </w:rPr>
            </w:pPr>
          </w:p>
        </w:tc>
        <w:tc>
          <w:tcPr>
            <w:tcW w:w="438" w:type="dxa"/>
          </w:tcPr>
          <w:p w14:paraId="7FB2DDBE">
            <w:pPr>
              <w:widowControl/>
              <w:jc w:val="center"/>
              <w:rPr>
                <w:rFonts w:hint="eastAsia" w:ascii="仿宋_GB2312" w:hAnsi="仿宋_GB2312" w:eastAsia="仿宋_GB2312" w:cs="仿宋_GB2312"/>
                <w:kern w:val="0"/>
                <w:sz w:val="20"/>
                <w:szCs w:val="20"/>
              </w:rPr>
            </w:pPr>
          </w:p>
        </w:tc>
        <w:tc>
          <w:tcPr>
            <w:tcW w:w="516" w:type="dxa"/>
          </w:tcPr>
          <w:p w14:paraId="57578BB5">
            <w:pPr>
              <w:widowControl/>
              <w:jc w:val="center"/>
              <w:rPr>
                <w:rFonts w:hint="eastAsia" w:ascii="仿宋_GB2312" w:hAnsi="仿宋_GB2312" w:eastAsia="仿宋_GB2312" w:cs="仿宋_GB2312"/>
                <w:kern w:val="0"/>
                <w:sz w:val="20"/>
                <w:szCs w:val="20"/>
              </w:rPr>
            </w:pPr>
          </w:p>
        </w:tc>
        <w:tc>
          <w:tcPr>
            <w:tcW w:w="440" w:type="dxa"/>
          </w:tcPr>
          <w:p w14:paraId="1323751E">
            <w:pPr>
              <w:widowControl/>
              <w:jc w:val="center"/>
              <w:rPr>
                <w:rFonts w:hint="eastAsia" w:ascii="仿宋_GB2312" w:hAnsi="仿宋_GB2312" w:eastAsia="仿宋_GB2312" w:cs="仿宋_GB2312"/>
                <w:kern w:val="0"/>
                <w:sz w:val="20"/>
                <w:szCs w:val="20"/>
              </w:rPr>
            </w:pPr>
          </w:p>
        </w:tc>
        <w:tc>
          <w:tcPr>
            <w:tcW w:w="516" w:type="dxa"/>
          </w:tcPr>
          <w:p w14:paraId="224CCD80">
            <w:pPr>
              <w:widowControl/>
              <w:jc w:val="center"/>
              <w:rPr>
                <w:rFonts w:hint="eastAsia" w:ascii="仿宋_GB2312" w:hAnsi="仿宋_GB2312" w:eastAsia="仿宋_GB2312" w:cs="仿宋_GB2312"/>
                <w:kern w:val="0"/>
                <w:sz w:val="20"/>
                <w:szCs w:val="20"/>
              </w:rPr>
            </w:pPr>
          </w:p>
        </w:tc>
        <w:tc>
          <w:tcPr>
            <w:tcW w:w="663" w:type="dxa"/>
          </w:tcPr>
          <w:p w14:paraId="7D905670">
            <w:pPr>
              <w:widowControl/>
              <w:jc w:val="center"/>
              <w:rPr>
                <w:rFonts w:hint="eastAsia" w:ascii="仿宋_GB2312" w:hAnsi="仿宋_GB2312" w:eastAsia="仿宋_GB2312" w:cs="仿宋_GB2312"/>
                <w:kern w:val="0"/>
                <w:sz w:val="20"/>
                <w:szCs w:val="20"/>
              </w:rPr>
            </w:pPr>
          </w:p>
        </w:tc>
      </w:tr>
      <w:tr w14:paraId="619E9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11AF8E96">
            <w:pPr>
              <w:widowControl/>
              <w:jc w:val="center"/>
              <w:rPr>
                <w:rFonts w:hint="eastAsia" w:ascii="仿宋_GB2312" w:hAnsi="仿宋_GB2312" w:eastAsia="仿宋_GB2312" w:cs="仿宋_GB2312"/>
                <w:kern w:val="0"/>
                <w:sz w:val="20"/>
                <w:szCs w:val="20"/>
              </w:rPr>
            </w:pPr>
          </w:p>
        </w:tc>
        <w:tc>
          <w:tcPr>
            <w:tcW w:w="1400" w:type="dxa"/>
          </w:tcPr>
          <w:p w14:paraId="56FE578E">
            <w:pPr>
              <w:widowControl/>
              <w:jc w:val="center"/>
              <w:rPr>
                <w:rFonts w:hint="eastAsia" w:ascii="仿宋_GB2312" w:hAnsi="仿宋_GB2312" w:eastAsia="仿宋_GB2312" w:cs="仿宋_GB2312"/>
                <w:kern w:val="0"/>
                <w:sz w:val="20"/>
                <w:szCs w:val="20"/>
              </w:rPr>
            </w:pPr>
          </w:p>
        </w:tc>
        <w:tc>
          <w:tcPr>
            <w:tcW w:w="2893" w:type="dxa"/>
          </w:tcPr>
          <w:p w14:paraId="01869A9B">
            <w:pPr>
              <w:widowControl/>
              <w:jc w:val="left"/>
              <w:rPr>
                <w:rFonts w:hint="eastAsia" w:ascii="仿宋_GB2312" w:hAnsi="仿宋_GB2312" w:eastAsia="仿宋_GB2312" w:cs="仿宋_GB2312"/>
                <w:kern w:val="0"/>
                <w:sz w:val="20"/>
                <w:szCs w:val="20"/>
              </w:rPr>
            </w:pPr>
          </w:p>
        </w:tc>
        <w:tc>
          <w:tcPr>
            <w:tcW w:w="871" w:type="dxa"/>
          </w:tcPr>
          <w:p w14:paraId="7060CD00">
            <w:pPr>
              <w:widowControl/>
              <w:jc w:val="center"/>
              <w:rPr>
                <w:rFonts w:hint="eastAsia" w:ascii="仿宋_GB2312" w:hAnsi="仿宋_GB2312" w:eastAsia="仿宋_GB2312" w:cs="仿宋_GB2312"/>
                <w:kern w:val="0"/>
                <w:sz w:val="20"/>
                <w:szCs w:val="20"/>
              </w:rPr>
            </w:pPr>
          </w:p>
        </w:tc>
        <w:tc>
          <w:tcPr>
            <w:tcW w:w="930" w:type="dxa"/>
          </w:tcPr>
          <w:p w14:paraId="5E7CBC7D">
            <w:pPr>
              <w:widowControl/>
              <w:jc w:val="center"/>
              <w:rPr>
                <w:rFonts w:hint="eastAsia" w:ascii="仿宋_GB2312" w:hAnsi="仿宋_GB2312" w:eastAsia="仿宋_GB2312" w:cs="仿宋_GB2312"/>
                <w:kern w:val="0"/>
                <w:sz w:val="20"/>
                <w:szCs w:val="20"/>
              </w:rPr>
            </w:pPr>
          </w:p>
        </w:tc>
        <w:tc>
          <w:tcPr>
            <w:tcW w:w="4294" w:type="dxa"/>
          </w:tcPr>
          <w:p w14:paraId="3D3A0F03">
            <w:pPr>
              <w:widowControl/>
              <w:jc w:val="center"/>
              <w:rPr>
                <w:rFonts w:hint="eastAsia" w:ascii="仿宋_GB2312" w:hAnsi="仿宋_GB2312" w:eastAsia="仿宋_GB2312" w:cs="仿宋_GB2312"/>
                <w:kern w:val="0"/>
                <w:sz w:val="20"/>
                <w:szCs w:val="20"/>
              </w:rPr>
            </w:pPr>
          </w:p>
        </w:tc>
        <w:tc>
          <w:tcPr>
            <w:tcW w:w="438" w:type="dxa"/>
          </w:tcPr>
          <w:p w14:paraId="403FDC41">
            <w:pPr>
              <w:widowControl/>
              <w:jc w:val="center"/>
              <w:rPr>
                <w:rFonts w:hint="eastAsia" w:ascii="仿宋_GB2312" w:hAnsi="仿宋_GB2312" w:eastAsia="仿宋_GB2312" w:cs="仿宋_GB2312"/>
                <w:kern w:val="0"/>
                <w:sz w:val="20"/>
                <w:szCs w:val="20"/>
              </w:rPr>
            </w:pPr>
          </w:p>
        </w:tc>
        <w:tc>
          <w:tcPr>
            <w:tcW w:w="516" w:type="dxa"/>
          </w:tcPr>
          <w:p w14:paraId="6CF3CDDB">
            <w:pPr>
              <w:widowControl/>
              <w:jc w:val="center"/>
              <w:rPr>
                <w:rFonts w:hint="eastAsia" w:ascii="仿宋_GB2312" w:hAnsi="仿宋_GB2312" w:eastAsia="仿宋_GB2312" w:cs="仿宋_GB2312"/>
                <w:kern w:val="0"/>
                <w:sz w:val="20"/>
                <w:szCs w:val="20"/>
              </w:rPr>
            </w:pPr>
          </w:p>
        </w:tc>
        <w:tc>
          <w:tcPr>
            <w:tcW w:w="440" w:type="dxa"/>
          </w:tcPr>
          <w:p w14:paraId="4A5AFE98">
            <w:pPr>
              <w:widowControl/>
              <w:jc w:val="center"/>
              <w:rPr>
                <w:rFonts w:hint="eastAsia" w:ascii="仿宋_GB2312" w:hAnsi="仿宋_GB2312" w:eastAsia="仿宋_GB2312" w:cs="仿宋_GB2312"/>
                <w:kern w:val="0"/>
                <w:sz w:val="20"/>
                <w:szCs w:val="20"/>
              </w:rPr>
            </w:pPr>
          </w:p>
        </w:tc>
        <w:tc>
          <w:tcPr>
            <w:tcW w:w="516" w:type="dxa"/>
          </w:tcPr>
          <w:p w14:paraId="169630B8">
            <w:pPr>
              <w:widowControl/>
              <w:jc w:val="center"/>
              <w:rPr>
                <w:rFonts w:hint="eastAsia" w:ascii="仿宋_GB2312" w:hAnsi="仿宋_GB2312" w:eastAsia="仿宋_GB2312" w:cs="仿宋_GB2312"/>
                <w:kern w:val="0"/>
                <w:sz w:val="20"/>
                <w:szCs w:val="20"/>
              </w:rPr>
            </w:pPr>
          </w:p>
        </w:tc>
        <w:tc>
          <w:tcPr>
            <w:tcW w:w="663" w:type="dxa"/>
          </w:tcPr>
          <w:p w14:paraId="004C728C">
            <w:pPr>
              <w:widowControl/>
              <w:jc w:val="center"/>
              <w:rPr>
                <w:rFonts w:hint="eastAsia" w:ascii="仿宋_GB2312" w:hAnsi="仿宋_GB2312" w:eastAsia="仿宋_GB2312" w:cs="仿宋_GB2312"/>
                <w:kern w:val="0"/>
                <w:sz w:val="20"/>
                <w:szCs w:val="20"/>
              </w:rPr>
            </w:pPr>
          </w:p>
        </w:tc>
      </w:tr>
      <w:tr w14:paraId="1AEE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452BC7EF">
            <w:pPr>
              <w:widowControl/>
              <w:jc w:val="center"/>
              <w:rPr>
                <w:rFonts w:hint="eastAsia" w:ascii="仿宋_GB2312" w:hAnsi="仿宋_GB2312" w:eastAsia="仿宋_GB2312" w:cs="仿宋_GB2312"/>
                <w:kern w:val="0"/>
                <w:sz w:val="20"/>
                <w:szCs w:val="20"/>
              </w:rPr>
            </w:pPr>
          </w:p>
        </w:tc>
        <w:tc>
          <w:tcPr>
            <w:tcW w:w="1400" w:type="dxa"/>
          </w:tcPr>
          <w:p w14:paraId="7FB67255">
            <w:pPr>
              <w:widowControl/>
              <w:jc w:val="center"/>
              <w:rPr>
                <w:rFonts w:hint="eastAsia" w:ascii="仿宋_GB2312" w:hAnsi="仿宋_GB2312" w:eastAsia="仿宋_GB2312" w:cs="仿宋_GB2312"/>
                <w:kern w:val="0"/>
                <w:sz w:val="20"/>
                <w:szCs w:val="20"/>
              </w:rPr>
            </w:pPr>
          </w:p>
        </w:tc>
        <w:tc>
          <w:tcPr>
            <w:tcW w:w="2893" w:type="dxa"/>
          </w:tcPr>
          <w:p w14:paraId="365484D3">
            <w:pPr>
              <w:widowControl/>
              <w:jc w:val="left"/>
              <w:rPr>
                <w:rFonts w:hint="eastAsia" w:ascii="仿宋_GB2312" w:hAnsi="仿宋_GB2312" w:eastAsia="仿宋_GB2312" w:cs="仿宋_GB2312"/>
                <w:kern w:val="0"/>
                <w:sz w:val="20"/>
                <w:szCs w:val="20"/>
              </w:rPr>
            </w:pPr>
          </w:p>
        </w:tc>
        <w:tc>
          <w:tcPr>
            <w:tcW w:w="871" w:type="dxa"/>
          </w:tcPr>
          <w:p w14:paraId="3117E1CF">
            <w:pPr>
              <w:widowControl/>
              <w:jc w:val="center"/>
              <w:rPr>
                <w:rFonts w:hint="eastAsia" w:ascii="仿宋_GB2312" w:hAnsi="仿宋_GB2312" w:eastAsia="仿宋_GB2312" w:cs="仿宋_GB2312"/>
                <w:kern w:val="0"/>
                <w:sz w:val="20"/>
                <w:szCs w:val="20"/>
              </w:rPr>
            </w:pPr>
          </w:p>
        </w:tc>
        <w:tc>
          <w:tcPr>
            <w:tcW w:w="930" w:type="dxa"/>
          </w:tcPr>
          <w:p w14:paraId="30F22CD4">
            <w:pPr>
              <w:widowControl/>
              <w:jc w:val="center"/>
              <w:rPr>
                <w:rFonts w:hint="eastAsia" w:ascii="仿宋_GB2312" w:hAnsi="仿宋_GB2312" w:eastAsia="仿宋_GB2312" w:cs="仿宋_GB2312"/>
                <w:kern w:val="0"/>
                <w:sz w:val="20"/>
                <w:szCs w:val="20"/>
              </w:rPr>
            </w:pPr>
          </w:p>
        </w:tc>
        <w:tc>
          <w:tcPr>
            <w:tcW w:w="4294" w:type="dxa"/>
          </w:tcPr>
          <w:p w14:paraId="56443980">
            <w:pPr>
              <w:widowControl/>
              <w:jc w:val="center"/>
              <w:rPr>
                <w:rFonts w:hint="eastAsia" w:ascii="仿宋_GB2312" w:hAnsi="仿宋_GB2312" w:eastAsia="仿宋_GB2312" w:cs="仿宋_GB2312"/>
                <w:kern w:val="0"/>
                <w:sz w:val="20"/>
                <w:szCs w:val="20"/>
              </w:rPr>
            </w:pPr>
          </w:p>
        </w:tc>
        <w:tc>
          <w:tcPr>
            <w:tcW w:w="438" w:type="dxa"/>
          </w:tcPr>
          <w:p w14:paraId="5715B92C">
            <w:pPr>
              <w:widowControl/>
              <w:jc w:val="center"/>
              <w:rPr>
                <w:rFonts w:hint="eastAsia" w:ascii="仿宋_GB2312" w:hAnsi="仿宋_GB2312" w:eastAsia="仿宋_GB2312" w:cs="仿宋_GB2312"/>
                <w:kern w:val="0"/>
                <w:sz w:val="20"/>
                <w:szCs w:val="20"/>
              </w:rPr>
            </w:pPr>
          </w:p>
        </w:tc>
        <w:tc>
          <w:tcPr>
            <w:tcW w:w="516" w:type="dxa"/>
          </w:tcPr>
          <w:p w14:paraId="5084EC45">
            <w:pPr>
              <w:widowControl/>
              <w:jc w:val="center"/>
              <w:rPr>
                <w:rFonts w:hint="eastAsia" w:ascii="仿宋_GB2312" w:hAnsi="仿宋_GB2312" w:eastAsia="仿宋_GB2312" w:cs="仿宋_GB2312"/>
                <w:kern w:val="0"/>
                <w:sz w:val="20"/>
                <w:szCs w:val="20"/>
              </w:rPr>
            </w:pPr>
          </w:p>
        </w:tc>
        <w:tc>
          <w:tcPr>
            <w:tcW w:w="440" w:type="dxa"/>
          </w:tcPr>
          <w:p w14:paraId="5D85BF3C">
            <w:pPr>
              <w:widowControl/>
              <w:jc w:val="center"/>
              <w:rPr>
                <w:rFonts w:hint="eastAsia" w:ascii="仿宋_GB2312" w:hAnsi="仿宋_GB2312" w:eastAsia="仿宋_GB2312" w:cs="仿宋_GB2312"/>
                <w:kern w:val="0"/>
                <w:sz w:val="20"/>
                <w:szCs w:val="20"/>
              </w:rPr>
            </w:pPr>
          </w:p>
        </w:tc>
        <w:tc>
          <w:tcPr>
            <w:tcW w:w="516" w:type="dxa"/>
          </w:tcPr>
          <w:p w14:paraId="3F11D778">
            <w:pPr>
              <w:widowControl/>
              <w:jc w:val="center"/>
              <w:rPr>
                <w:rFonts w:hint="eastAsia" w:ascii="仿宋_GB2312" w:hAnsi="仿宋_GB2312" w:eastAsia="仿宋_GB2312" w:cs="仿宋_GB2312"/>
                <w:kern w:val="0"/>
                <w:sz w:val="20"/>
                <w:szCs w:val="20"/>
              </w:rPr>
            </w:pPr>
          </w:p>
        </w:tc>
        <w:tc>
          <w:tcPr>
            <w:tcW w:w="663" w:type="dxa"/>
          </w:tcPr>
          <w:p w14:paraId="35725A7E">
            <w:pPr>
              <w:widowControl/>
              <w:jc w:val="center"/>
              <w:rPr>
                <w:rFonts w:hint="eastAsia" w:ascii="仿宋_GB2312" w:hAnsi="仿宋_GB2312" w:eastAsia="仿宋_GB2312" w:cs="仿宋_GB2312"/>
                <w:kern w:val="0"/>
                <w:sz w:val="20"/>
                <w:szCs w:val="20"/>
              </w:rPr>
            </w:pPr>
          </w:p>
        </w:tc>
      </w:tr>
      <w:tr w14:paraId="499C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5D70506B">
            <w:pPr>
              <w:widowControl/>
              <w:jc w:val="center"/>
              <w:rPr>
                <w:rFonts w:hint="eastAsia" w:ascii="仿宋_GB2312" w:hAnsi="仿宋_GB2312" w:eastAsia="仿宋_GB2312" w:cs="仿宋_GB2312"/>
                <w:kern w:val="0"/>
                <w:sz w:val="20"/>
                <w:szCs w:val="20"/>
              </w:rPr>
            </w:pPr>
          </w:p>
        </w:tc>
        <w:tc>
          <w:tcPr>
            <w:tcW w:w="1400" w:type="dxa"/>
          </w:tcPr>
          <w:p w14:paraId="26EE34DE">
            <w:pPr>
              <w:widowControl/>
              <w:jc w:val="center"/>
              <w:rPr>
                <w:rFonts w:hint="eastAsia" w:ascii="仿宋_GB2312" w:hAnsi="仿宋_GB2312" w:eastAsia="仿宋_GB2312" w:cs="仿宋_GB2312"/>
                <w:kern w:val="0"/>
                <w:sz w:val="20"/>
                <w:szCs w:val="20"/>
              </w:rPr>
            </w:pPr>
          </w:p>
        </w:tc>
        <w:tc>
          <w:tcPr>
            <w:tcW w:w="2893" w:type="dxa"/>
          </w:tcPr>
          <w:p w14:paraId="28C0613A">
            <w:pPr>
              <w:widowControl/>
              <w:jc w:val="left"/>
              <w:rPr>
                <w:rFonts w:hint="eastAsia" w:ascii="仿宋_GB2312" w:hAnsi="仿宋_GB2312" w:eastAsia="仿宋_GB2312" w:cs="仿宋_GB2312"/>
                <w:kern w:val="0"/>
                <w:sz w:val="20"/>
                <w:szCs w:val="20"/>
              </w:rPr>
            </w:pPr>
          </w:p>
        </w:tc>
        <w:tc>
          <w:tcPr>
            <w:tcW w:w="871" w:type="dxa"/>
          </w:tcPr>
          <w:p w14:paraId="4F90F97F">
            <w:pPr>
              <w:widowControl/>
              <w:jc w:val="center"/>
              <w:rPr>
                <w:rFonts w:hint="eastAsia" w:ascii="仿宋_GB2312" w:hAnsi="仿宋_GB2312" w:eastAsia="仿宋_GB2312" w:cs="仿宋_GB2312"/>
                <w:kern w:val="0"/>
                <w:sz w:val="20"/>
                <w:szCs w:val="20"/>
              </w:rPr>
            </w:pPr>
          </w:p>
        </w:tc>
        <w:tc>
          <w:tcPr>
            <w:tcW w:w="930" w:type="dxa"/>
          </w:tcPr>
          <w:p w14:paraId="45901B60">
            <w:pPr>
              <w:widowControl/>
              <w:jc w:val="center"/>
              <w:rPr>
                <w:rFonts w:hint="eastAsia" w:ascii="仿宋_GB2312" w:hAnsi="仿宋_GB2312" w:eastAsia="仿宋_GB2312" w:cs="仿宋_GB2312"/>
                <w:kern w:val="0"/>
                <w:sz w:val="20"/>
                <w:szCs w:val="20"/>
              </w:rPr>
            </w:pPr>
          </w:p>
        </w:tc>
        <w:tc>
          <w:tcPr>
            <w:tcW w:w="4294" w:type="dxa"/>
          </w:tcPr>
          <w:p w14:paraId="505A52D7">
            <w:pPr>
              <w:widowControl/>
              <w:jc w:val="center"/>
              <w:rPr>
                <w:rFonts w:hint="eastAsia" w:ascii="仿宋_GB2312" w:hAnsi="仿宋_GB2312" w:eastAsia="仿宋_GB2312" w:cs="仿宋_GB2312"/>
                <w:kern w:val="0"/>
                <w:sz w:val="20"/>
                <w:szCs w:val="20"/>
              </w:rPr>
            </w:pPr>
          </w:p>
        </w:tc>
        <w:tc>
          <w:tcPr>
            <w:tcW w:w="438" w:type="dxa"/>
          </w:tcPr>
          <w:p w14:paraId="3667D175">
            <w:pPr>
              <w:widowControl/>
              <w:jc w:val="center"/>
              <w:rPr>
                <w:rFonts w:hint="eastAsia" w:ascii="仿宋_GB2312" w:hAnsi="仿宋_GB2312" w:eastAsia="仿宋_GB2312" w:cs="仿宋_GB2312"/>
                <w:kern w:val="0"/>
                <w:sz w:val="20"/>
                <w:szCs w:val="20"/>
              </w:rPr>
            </w:pPr>
          </w:p>
        </w:tc>
        <w:tc>
          <w:tcPr>
            <w:tcW w:w="516" w:type="dxa"/>
          </w:tcPr>
          <w:p w14:paraId="7C55DCA5">
            <w:pPr>
              <w:widowControl/>
              <w:jc w:val="center"/>
              <w:rPr>
                <w:rFonts w:hint="eastAsia" w:ascii="仿宋_GB2312" w:hAnsi="仿宋_GB2312" w:eastAsia="仿宋_GB2312" w:cs="仿宋_GB2312"/>
                <w:kern w:val="0"/>
                <w:sz w:val="20"/>
                <w:szCs w:val="20"/>
              </w:rPr>
            </w:pPr>
          </w:p>
        </w:tc>
        <w:tc>
          <w:tcPr>
            <w:tcW w:w="440" w:type="dxa"/>
          </w:tcPr>
          <w:p w14:paraId="545C8E2A">
            <w:pPr>
              <w:widowControl/>
              <w:jc w:val="center"/>
              <w:rPr>
                <w:rFonts w:hint="eastAsia" w:ascii="仿宋_GB2312" w:hAnsi="仿宋_GB2312" w:eastAsia="仿宋_GB2312" w:cs="仿宋_GB2312"/>
                <w:kern w:val="0"/>
                <w:sz w:val="20"/>
                <w:szCs w:val="20"/>
              </w:rPr>
            </w:pPr>
          </w:p>
        </w:tc>
        <w:tc>
          <w:tcPr>
            <w:tcW w:w="516" w:type="dxa"/>
          </w:tcPr>
          <w:p w14:paraId="53CE19E3">
            <w:pPr>
              <w:widowControl/>
              <w:jc w:val="center"/>
              <w:rPr>
                <w:rFonts w:hint="eastAsia" w:ascii="仿宋_GB2312" w:hAnsi="仿宋_GB2312" w:eastAsia="仿宋_GB2312" w:cs="仿宋_GB2312"/>
                <w:kern w:val="0"/>
                <w:sz w:val="20"/>
                <w:szCs w:val="20"/>
              </w:rPr>
            </w:pPr>
          </w:p>
        </w:tc>
        <w:tc>
          <w:tcPr>
            <w:tcW w:w="663" w:type="dxa"/>
          </w:tcPr>
          <w:p w14:paraId="57CB5F43">
            <w:pPr>
              <w:widowControl/>
              <w:jc w:val="center"/>
              <w:rPr>
                <w:rFonts w:hint="eastAsia" w:ascii="仿宋_GB2312" w:hAnsi="仿宋_GB2312" w:eastAsia="仿宋_GB2312" w:cs="仿宋_GB2312"/>
                <w:kern w:val="0"/>
                <w:sz w:val="20"/>
                <w:szCs w:val="20"/>
              </w:rPr>
            </w:pPr>
          </w:p>
        </w:tc>
      </w:tr>
      <w:tr w14:paraId="1F75E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52E034FC">
            <w:pPr>
              <w:widowControl/>
              <w:jc w:val="center"/>
              <w:rPr>
                <w:rFonts w:hint="eastAsia" w:ascii="仿宋_GB2312" w:hAnsi="仿宋_GB2312" w:eastAsia="仿宋_GB2312" w:cs="仿宋_GB2312"/>
                <w:kern w:val="0"/>
                <w:sz w:val="20"/>
                <w:szCs w:val="20"/>
              </w:rPr>
            </w:pPr>
          </w:p>
        </w:tc>
        <w:tc>
          <w:tcPr>
            <w:tcW w:w="1400" w:type="dxa"/>
          </w:tcPr>
          <w:p w14:paraId="119599AD">
            <w:pPr>
              <w:widowControl/>
              <w:jc w:val="center"/>
              <w:rPr>
                <w:rFonts w:hint="eastAsia" w:ascii="仿宋_GB2312" w:hAnsi="仿宋_GB2312" w:eastAsia="仿宋_GB2312" w:cs="仿宋_GB2312"/>
                <w:kern w:val="0"/>
                <w:sz w:val="20"/>
                <w:szCs w:val="20"/>
              </w:rPr>
            </w:pPr>
          </w:p>
        </w:tc>
        <w:tc>
          <w:tcPr>
            <w:tcW w:w="2893" w:type="dxa"/>
          </w:tcPr>
          <w:p w14:paraId="0AA057FB">
            <w:pPr>
              <w:widowControl/>
              <w:jc w:val="left"/>
              <w:rPr>
                <w:rFonts w:hint="eastAsia" w:ascii="仿宋_GB2312" w:hAnsi="仿宋_GB2312" w:eastAsia="仿宋_GB2312" w:cs="仿宋_GB2312"/>
                <w:kern w:val="0"/>
                <w:sz w:val="20"/>
                <w:szCs w:val="20"/>
              </w:rPr>
            </w:pPr>
          </w:p>
        </w:tc>
        <w:tc>
          <w:tcPr>
            <w:tcW w:w="871" w:type="dxa"/>
          </w:tcPr>
          <w:p w14:paraId="488F1DB1">
            <w:pPr>
              <w:widowControl/>
              <w:jc w:val="center"/>
              <w:rPr>
                <w:rFonts w:hint="eastAsia" w:ascii="仿宋_GB2312" w:hAnsi="仿宋_GB2312" w:eastAsia="仿宋_GB2312" w:cs="仿宋_GB2312"/>
                <w:kern w:val="0"/>
                <w:sz w:val="20"/>
                <w:szCs w:val="20"/>
              </w:rPr>
            </w:pPr>
          </w:p>
        </w:tc>
        <w:tc>
          <w:tcPr>
            <w:tcW w:w="930" w:type="dxa"/>
          </w:tcPr>
          <w:p w14:paraId="7363240B">
            <w:pPr>
              <w:widowControl/>
              <w:jc w:val="center"/>
              <w:rPr>
                <w:rFonts w:hint="eastAsia" w:ascii="仿宋_GB2312" w:hAnsi="仿宋_GB2312" w:eastAsia="仿宋_GB2312" w:cs="仿宋_GB2312"/>
                <w:kern w:val="0"/>
                <w:sz w:val="20"/>
                <w:szCs w:val="20"/>
              </w:rPr>
            </w:pPr>
          </w:p>
        </w:tc>
        <w:tc>
          <w:tcPr>
            <w:tcW w:w="4294" w:type="dxa"/>
          </w:tcPr>
          <w:p w14:paraId="23D42E4D">
            <w:pPr>
              <w:widowControl/>
              <w:jc w:val="center"/>
              <w:rPr>
                <w:rFonts w:hint="eastAsia" w:ascii="仿宋_GB2312" w:hAnsi="仿宋_GB2312" w:eastAsia="仿宋_GB2312" w:cs="仿宋_GB2312"/>
                <w:kern w:val="0"/>
                <w:sz w:val="20"/>
                <w:szCs w:val="20"/>
              </w:rPr>
            </w:pPr>
          </w:p>
        </w:tc>
        <w:tc>
          <w:tcPr>
            <w:tcW w:w="438" w:type="dxa"/>
          </w:tcPr>
          <w:p w14:paraId="56017BA7">
            <w:pPr>
              <w:widowControl/>
              <w:jc w:val="center"/>
              <w:rPr>
                <w:rFonts w:hint="eastAsia" w:ascii="仿宋_GB2312" w:hAnsi="仿宋_GB2312" w:eastAsia="仿宋_GB2312" w:cs="仿宋_GB2312"/>
                <w:kern w:val="0"/>
                <w:sz w:val="20"/>
                <w:szCs w:val="20"/>
              </w:rPr>
            </w:pPr>
          </w:p>
        </w:tc>
        <w:tc>
          <w:tcPr>
            <w:tcW w:w="516" w:type="dxa"/>
          </w:tcPr>
          <w:p w14:paraId="15DF267D">
            <w:pPr>
              <w:widowControl/>
              <w:jc w:val="center"/>
              <w:rPr>
                <w:rFonts w:hint="eastAsia" w:ascii="仿宋_GB2312" w:hAnsi="仿宋_GB2312" w:eastAsia="仿宋_GB2312" w:cs="仿宋_GB2312"/>
                <w:kern w:val="0"/>
                <w:sz w:val="20"/>
                <w:szCs w:val="20"/>
              </w:rPr>
            </w:pPr>
          </w:p>
        </w:tc>
        <w:tc>
          <w:tcPr>
            <w:tcW w:w="440" w:type="dxa"/>
          </w:tcPr>
          <w:p w14:paraId="22579A16">
            <w:pPr>
              <w:widowControl/>
              <w:jc w:val="center"/>
              <w:rPr>
                <w:rFonts w:hint="eastAsia" w:ascii="仿宋_GB2312" w:hAnsi="仿宋_GB2312" w:eastAsia="仿宋_GB2312" w:cs="仿宋_GB2312"/>
                <w:kern w:val="0"/>
                <w:sz w:val="20"/>
                <w:szCs w:val="20"/>
              </w:rPr>
            </w:pPr>
          </w:p>
        </w:tc>
        <w:tc>
          <w:tcPr>
            <w:tcW w:w="516" w:type="dxa"/>
          </w:tcPr>
          <w:p w14:paraId="0FC25450">
            <w:pPr>
              <w:widowControl/>
              <w:jc w:val="center"/>
              <w:rPr>
                <w:rFonts w:hint="eastAsia" w:ascii="仿宋_GB2312" w:hAnsi="仿宋_GB2312" w:eastAsia="仿宋_GB2312" w:cs="仿宋_GB2312"/>
                <w:kern w:val="0"/>
                <w:sz w:val="20"/>
                <w:szCs w:val="20"/>
              </w:rPr>
            </w:pPr>
          </w:p>
        </w:tc>
        <w:tc>
          <w:tcPr>
            <w:tcW w:w="663" w:type="dxa"/>
          </w:tcPr>
          <w:p w14:paraId="7C5FD9BC">
            <w:pPr>
              <w:widowControl/>
              <w:jc w:val="center"/>
              <w:rPr>
                <w:rFonts w:hint="eastAsia" w:ascii="仿宋_GB2312" w:hAnsi="仿宋_GB2312" w:eastAsia="仿宋_GB2312" w:cs="仿宋_GB2312"/>
                <w:kern w:val="0"/>
                <w:sz w:val="20"/>
                <w:szCs w:val="20"/>
              </w:rPr>
            </w:pPr>
          </w:p>
        </w:tc>
      </w:tr>
      <w:tr w14:paraId="78476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635" w:type="dxa"/>
          </w:tcPr>
          <w:p w14:paraId="25408A13">
            <w:pPr>
              <w:widowControl/>
              <w:jc w:val="center"/>
              <w:rPr>
                <w:rFonts w:hint="eastAsia" w:ascii="仿宋_GB2312" w:hAnsi="仿宋_GB2312" w:eastAsia="仿宋_GB2312" w:cs="仿宋_GB2312"/>
                <w:kern w:val="0"/>
                <w:sz w:val="20"/>
                <w:szCs w:val="20"/>
              </w:rPr>
            </w:pPr>
          </w:p>
        </w:tc>
        <w:tc>
          <w:tcPr>
            <w:tcW w:w="1400" w:type="dxa"/>
          </w:tcPr>
          <w:p w14:paraId="0E13E694">
            <w:pPr>
              <w:widowControl/>
              <w:jc w:val="center"/>
              <w:rPr>
                <w:rFonts w:hint="eastAsia" w:ascii="仿宋_GB2312" w:hAnsi="仿宋_GB2312" w:eastAsia="仿宋_GB2312" w:cs="仿宋_GB2312"/>
                <w:kern w:val="0"/>
                <w:sz w:val="20"/>
                <w:szCs w:val="20"/>
              </w:rPr>
            </w:pPr>
          </w:p>
        </w:tc>
        <w:tc>
          <w:tcPr>
            <w:tcW w:w="2893" w:type="dxa"/>
          </w:tcPr>
          <w:p w14:paraId="0E8DC2E1">
            <w:pPr>
              <w:widowControl/>
              <w:jc w:val="left"/>
              <w:rPr>
                <w:rFonts w:hint="eastAsia" w:ascii="仿宋_GB2312" w:hAnsi="仿宋_GB2312" w:eastAsia="仿宋_GB2312" w:cs="仿宋_GB2312"/>
                <w:kern w:val="0"/>
                <w:sz w:val="20"/>
                <w:szCs w:val="20"/>
              </w:rPr>
            </w:pPr>
          </w:p>
        </w:tc>
        <w:tc>
          <w:tcPr>
            <w:tcW w:w="871" w:type="dxa"/>
          </w:tcPr>
          <w:p w14:paraId="4499CD02">
            <w:pPr>
              <w:widowControl/>
              <w:jc w:val="center"/>
              <w:rPr>
                <w:rFonts w:hint="eastAsia" w:ascii="仿宋_GB2312" w:hAnsi="仿宋_GB2312" w:eastAsia="仿宋_GB2312" w:cs="仿宋_GB2312"/>
                <w:kern w:val="0"/>
                <w:sz w:val="20"/>
                <w:szCs w:val="20"/>
              </w:rPr>
            </w:pPr>
          </w:p>
        </w:tc>
        <w:tc>
          <w:tcPr>
            <w:tcW w:w="930" w:type="dxa"/>
          </w:tcPr>
          <w:p w14:paraId="1BCFDB9B">
            <w:pPr>
              <w:widowControl/>
              <w:jc w:val="center"/>
              <w:rPr>
                <w:rFonts w:hint="eastAsia" w:ascii="仿宋_GB2312" w:hAnsi="仿宋_GB2312" w:eastAsia="仿宋_GB2312" w:cs="仿宋_GB2312"/>
                <w:kern w:val="0"/>
                <w:sz w:val="20"/>
                <w:szCs w:val="20"/>
              </w:rPr>
            </w:pPr>
          </w:p>
        </w:tc>
        <w:tc>
          <w:tcPr>
            <w:tcW w:w="4294" w:type="dxa"/>
          </w:tcPr>
          <w:p w14:paraId="5518A0F7">
            <w:pPr>
              <w:widowControl/>
              <w:jc w:val="center"/>
              <w:rPr>
                <w:rFonts w:hint="eastAsia" w:ascii="仿宋_GB2312" w:hAnsi="仿宋_GB2312" w:eastAsia="仿宋_GB2312" w:cs="仿宋_GB2312"/>
                <w:kern w:val="0"/>
                <w:sz w:val="20"/>
                <w:szCs w:val="20"/>
              </w:rPr>
            </w:pPr>
          </w:p>
        </w:tc>
        <w:tc>
          <w:tcPr>
            <w:tcW w:w="438" w:type="dxa"/>
          </w:tcPr>
          <w:p w14:paraId="48721462">
            <w:pPr>
              <w:widowControl/>
              <w:jc w:val="center"/>
              <w:rPr>
                <w:rFonts w:hint="eastAsia" w:ascii="仿宋_GB2312" w:hAnsi="仿宋_GB2312" w:eastAsia="仿宋_GB2312" w:cs="仿宋_GB2312"/>
                <w:kern w:val="0"/>
                <w:sz w:val="20"/>
                <w:szCs w:val="20"/>
              </w:rPr>
            </w:pPr>
          </w:p>
        </w:tc>
        <w:tc>
          <w:tcPr>
            <w:tcW w:w="516" w:type="dxa"/>
          </w:tcPr>
          <w:p w14:paraId="56D51234">
            <w:pPr>
              <w:widowControl/>
              <w:jc w:val="center"/>
              <w:rPr>
                <w:rFonts w:hint="eastAsia" w:ascii="仿宋_GB2312" w:hAnsi="仿宋_GB2312" w:eastAsia="仿宋_GB2312" w:cs="仿宋_GB2312"/>
                <w:kern w:val="0"/>
                <w:sz w:val="20"/>
                <w:szCs w:val="20"/>
              </w:rPr>
            </w:pPr>
          </w:p>
        </w:tc>
        <w:tc>
          <w:tcPr>
            <w:tcW w:w="440" w:type="dxa"/>
          </w:tcPr>
          <w:p w14:paraId="53A7DF69">
            <w:pPr>
              <w:widowControl/>
              <w:jc w:val="center"/>
              <w:rPr>
                <w:rFonts w:hint="eastAsia" w:ascii="仿宋_GB2312" w:hAnsi="仿宋_GB2312" w:eastAsia="仿宋_GB2312" w:cs="仿宋_GB2312"/>
                <w:kern w:val="0"/>
                <w:sz w:val="20"/>
                <w:szCs w:val="20"/>
              </w:rPr>
            </w:pPr>
          </w:p>
        </w:tc>
        <w:tc>
          <w:tcPr>
            <w:tcW w:w="516" w:type="dxa"/>
          </w:tcPr>
          <w:p w14:paraId="61D86B05">
            <w:pPr>
              <w:widowControl/>
              <w:jc w:val="center"/>
              <w:rPr>
                <w:rFonts w:hint="eastAsia" w:ascii="仿宋_GB2312" w:hAnsi="仿宋_GB2312" w:eastAsia="仿宋_GB2312" w:cs="仿宋_GB2312"/>
                <w:kern w:val="0"/>
                <w:sz w:val="20"/>
                <w:szCs w:val="20"/>
              </w:rPr>
            </w:pPr>
          </w:p>
        </w:tc>
        <w:tc>
          <w:tcPr>
            <w:tcW w:w="663" w:type="dxa"/>
          </w:tcPr>
          <w:p w14:paraId="5C3B75D6">
            <w:pPr>
              <w:widowControl/>
              <w:jc w:val="center"/>
              <w:rPr>
                <w:rFonts w:hint="eastAsia" w:ascii="仿宋_GB2312" w:hAnsi="仿宋_GB2312" w:eastAsia="仿宋_GB2312" w:cs="仿宋_GB2312"/>
                <w:kern w:val="0"/>
                <w:sz w:val="20"/>
                <w:szCs w:val="20"/>
              </w:rPr>
            </w:pPr>
          </w:p>
        </w:tc>
      </w:tr>
    </w:tbl>
    <w:p w14:paraId="3EC122A8">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填表日期：     年    月    日                                    填表人：</w:t>
      </w:r>
    </w:p>
    <w:p w14:paraId="5807C949">
      <w:pPr>
        <w:rPr>
          <w:rFonts w:hint="eastAsia" w:ascii="仿宋_GB2312" w:hAnsi="仿宋_GB2312" w:eastAsia="仿宋_GB2312" w:cs="仿宋_GB2312"/>
          <w:sz w:val="28"/>
          <w:szCs w:val="28"/>
        </w:rPr>
      </w:pPr>
    </w:p>
    <w:p w14:paraId="0D685AF1">
      <w:pPr>
        <w:ind w:firstLine="560" w:firstLineChars="200"/>
        <w:rPr>
          <w:rFonts w:hint="eastAsia" w:ascii="仿宋_GB2312" w:hAnsi="仿宋_GB2312" w:eastAsia="仿宋_GB2312" w:cs="仿宋_GB2312"/>
          <w:sz w:val="28"/>
          <w:szCs w:val="28"/>
        </w:rPr>
        <w:sectPr>
          <w:pgSz w:w="16838" w:h="11906" w:orient="landscape"/>
          <w:pgMar w:top="1588" w:right="2098" w:bottom="1474" w:left="1985" w:header="851" w:footer="992" w:gutter="0"/>
          <w:pgBorders>
            <w:top w:val="none" w:sz="0" w:space="0"/>
            <w:left w:val="none" w:sz="0" w:space="0"/>
            <w:bottom w:val="none" w:sz="0" w:space="0"/>
            <w:right w:val="none" w:sz="0" w:space="0"/>
          </w:pgBorders>
          <w:cols w:space="425" w:num="1"/>
          <w:docGrid w:type="linesAndChars" w:linePitch="312" w:charSpace="0"/>
        </w:sectPr>
      </w:pPr>
    </w:p>
    <w:p w14:paraId="665EBA6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w:t>
      </w:r>
    </w:p>
    <w:p w14:paraId="239B299C">
      <w:pPr>
        <w:jc w:val="center"/>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安全关键控制点</w:t>
      </w:r>
    </w:p>
    <w:p w14:paraId="774198FA">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626735" cy="7208520"/>
            <wp:effectExtent l="19050" t="0" r="0" b="0"/>
            <wp:docPr id="1" name="图片 1" descr="C:\Documents and Settings\文件资料员\桌面\48602464364646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文件资料员\桌面\486024643646464713.jpg"/>
                    <pic:cNvPicPr>
                      <a:picLocks noChangeAspect="1" noChangeArrowheads="1"/>
                    </pic:cNvPicPr>
                  </pic:nvPicPr>
                  <pic:blipFill>
                    <a:blip r:embed="rId9"/>
                    <a:srcRect/>
                    <a:stretch>
                      <a:fillRect/>
                    </a:stretch>
                  </pic:blipFill>
                  <pic:spPr>
                    <a:xfrm>
                      <a:off x="0" y="0"/>
                      <a:ext cx="5635765" cy="7220311"/>
                    </a:xfrm>
                    <a:prstGeom prst="rect">
                      <a:avLst/>
                    </a:prstGeom>
                    <a:noFill/>
                    <a:ln w="9525">
                      <a:noFill/>
                      <a:miter lim="800000"/>
                      <a:headEnd/>
                      <a:tailEnd/>
                    </a:ln>
                  </pic:spPr>
                </pic:pic>
              </a:graphicData>
            </a:graphic>
          </wp:inline>
        </w:drawing>
      </w:r>
    </w:p>
    <w:p w14:paraId="697515E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p>
    <w:p w14:paraId="21C4D05D">
      <w:pPr>
        <w:jc w:val="center"/>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危险源分类</w:t>
      </w:r>
    </w:p>
    <w:p w14:paraId="77EDC53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依据GB／T13861—2009《生产过程危险和危害因素分类与代码》，将危险因素分为人的因素、物的因素、环境因素、管理因素四种。</w:t>
      </w:r>
    </w:p>
    <w:p w14:paraId="351BBB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人的因素：</w:t>
      </w:r>
    </w:p>
    <w:p w14:paraId="44A614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（1）心理、生理性危险和有害因素</w:t>
      </w:r>
    </w:p>
    <w:p w14:paraId="5C5E864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——负荷超限（主要包括：体力负荷超限、听力负荷超限、视力负荷超限、其他负荷超限）；</w:t>
      </w:r>
    </w:p>
    <w:p w14:paraId="6782444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——健康状况异常；              </w:t>
      </w:r>
    </w:p>
    <w:p w14:paraId="12232B1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——从事禁忌作业；</w:t>
      </w:r>
    </w:p>
    <w:p w14:paraId="19C27C3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——心理异常（主要包括：情绪异常、冒险心理、过度紧张、其他心理异常）；</w:t>
      </w:r>
    </w:p>
    <w:p w14:paraId="0ED3A16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——辨识功能缺陷（主要包括：感知延迟、辨识错误、其他辨识功能缺陷）；</w:t>
      </w:r>
    </w:p>
    <w:p w14:paraId="4C49C24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——其他心理、生理性危险和有害因素；</w:t>
      </w:r>
    </w:p>
    <w:p w14:paraId="34C872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（2）行为性危险和有害因素</w:t>
      </w:r>
    </w:p>
    <w:p w14:paraId="12B1983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——指挥错误（主要包括：指挥失误、违章指挥、其他指挥错误）；</w:t>
      </w:r>
    </w:p>
    <w:p w14:paraId="133C96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——操作错误（主要包括：误操作、违章操作、其他操作错误）；</w:t>
      </w:r>
    </w:p>
    <w:p w14:paraId="13DDC6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——监护失误 ；      </w:t>
      </w:r>
    </w:p>
    <w:p w14:paraId="1F100B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——其他行为性危险和有害因素。 </w:t>
      </w:r>
    </w:p>
    <w:p w14:paraId="7B15B9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物的因素：</w:t>
      </w:r>
    </w:p>
    <w:p w14:paraId="28C83B2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（1）物理性危险和有害因素</w:t>
      </w:r>
    </w:p>
    <w:p w14:paraId="35BBB3B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设施、工具、附件缺陷（诸如：强度不够、刚度不够、稳定性差、密封不良、耐腐蚀性差、应力集中、外形缺陷、外露运动件、操纵器缺陷、制动器缺陷、控制器缺陷、设备、设施、工具、附件其他缺陷）；</w:t>
      </w:r>
    </w:p>
    <w:p w14:paraId="4E047F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——防护缺陷（诸如：无防护、防护装置、设施缺陷、防护不当、支撑不当、防护距离不够、其他防护缺陷）；</w:t>
      </w:r>
    </w:p>
    <w:p w14:paraId="23042B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——电伤害（诸如：带电部位裸露、漏电、静电和杂散电流、电火花、其他电伤害）；</w:t>
      </w:r>
    </w:p>
    <w:p w14:paraId="22501E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——噪声（诸如：机械性噪声、电磁性噪声、流体动力性噪声、其他噪声）；</w:t>
      </w:r>
    </w:p>
    <w:p w14:paraId="69F8C8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——振动危害（诸如：机械性振动、电磁性振动、流体动力性振动、其他振动危害 ；</w:t>
      </w:r>
    </w:p>
    <w:p w14:paraId="569199A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——电离辐射； </w:t>
      </w:r>
    </w:p>
    <w:p w14:paraId="5126E44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——非电离辐射（诸如：紫外辐射、激光辐、微波辐射、超高频辐射、高频电磁场、工频电场）； </w:t>
      </w:r>
    </w:p>
    <w:p w14:paraId="4D8178D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——运动物伤害（诸如：抛射物、飞溅物、坠落物、反弹物、土、岩滑动、料堆（垛）滑动、气流卷动、其他运动物伤害）；</w:t>
      </w:r>
    </w:p>
    <w:p w14:paraId="62FE754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——明火； </w:t>
      </w:r>
    </w:p>
    <w:p w14:paraId="304E42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——高温物体（诸如:高温气体、高温液体、高温固体、其他高温物体）；</w:t>
      </w:r>
    </w:p>
    <w:p w14:paraId="42BBFBD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——低温物体（诸如：低温气体、低温液体、低温固体、其他低温物体）；</w:t>
      </w:r>
    </w:p>
    <w:p w14:paraId="29D597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——信号缺陷（诸如：无信号设施、信号选用不当、信号位置不当、信号不清信号显示不准、其他信号缺陷）；</w:t>
      </w:r>
    </w:p>
    <w:p w14:paraId="3CE3E5A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——标志缺陷（诸如：无标志、标志不清晰、标志不规范、标志选用不当、标志位置缺陷、其他标志缺陷）；</w:t>
      </w:r>
    </w:p>
    <w:p w14:paraId="2224B3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——有害光照； </w:t>
      </w:r>
    </w:p>
    <w:p w14:paraId="5A9F10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——其他物理性危险和有害因素 ；</w:t>
      </w:r>
    </w:p>
    <w:p w14:paraId="34D47D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（2）化学性危险和有害因素</w:t>
      </w:r>
    </w:p>
    <w:p w14:paraId="4B4B23A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主要包括：爆炸品、压缩气体和液化气体、易燃液体、易燃固体、自然物品和遇湿易燃物品、氧化剂和有机过氧化物、有毒品、放射性物品、腐蚀品、粉尘与气溶胶、其他化学性危险和有害因素；</w:t>
      </w:r>
    </w:p>
    <w:p w14:paraId="28D12A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（3）生物性危险和有害因素</w:t>
      </w:r>
    </w:p>
    <w:p w14:paraId="4BCC1C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主要包括：致病微生物、细菌、病毒、真菌、其他致病微生物、传染病媒介物、致害动物、致害植物、其他生物性危险和有害因素。</w:t>
      </w:r>
    </w:p>
    <w:p w14:paraId="04E51B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环境因素：</w:t>
      </w:r>
    </w:p>
    <w:p w14:paraId="38E6DE8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（1）室内作业环境不良:室内地面湿滑、作业场所狭窄、作业场所杂乱、地面不平、梯架缺陷、洞口防护缺陷、安全通道缺陷、采光照明不良等;</w:t>
      </w:r>
    </w:p>
    <w:p w14:paraId="37FA4B6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（2）室外作业环境不良:恶劣天气条件、场地杂乱、防护围栏缺陷、地面湿滑等;</w:t>
      </w:r>
    </w:p>
    <w:p w14:paraId="319EA06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（3）地下（含水下）作业环境不良:隧道/矿井顶板缺陷、冲击地压、地下涌水、自发火灾等;</w:t>
      </w:r>
    </w:p>
    <w:p w14:paraId="54315E5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(4）其他作业环境不良（如强迫性体位、综合性作业环境不良及其他上述未涉及的作业环境不良因素等）。 </w:t>
      </w:r>
    </w:p>
    <w:p w14:paraId="7F74B43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管理的因素：</w:t>
      </w:r>
    </w:p>
    <w:p w14:paraId="22DE09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（1）职业安全卫生组织机构不健全；</w:t>
      </w:r>
    </w:p>
    <w:p w14:paraId="31D908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（2）职业安全卫生责任制未落实；</w:t>
      </w:r>
    </w:p>
    <w:p w14:paraId="576B0BB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（3）职业安全卫生管理规章制度不完善（主要包括：建设项目“三同时”制度未落实、操作规程不规范、事故应急预案及响应缺陷、培训制度不完善等）；</w:t>
      </w:r>
    </w:p>
    <w:p w14:paraId="1E1F78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（4）其他职业安全卫生管理规章制度不健全；</w:t>
      </w:r>
    </w:p>
    <w:p w14:paraId="2721392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（5）职业安全卫生投入不足；</w:t>
      </w:r>
    </w:p>
    <w:p w14:paraId="26071E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（6）职业健康管理不完善；</w:t>
      </w:r>
    </w:p>
    <w:p w14:paraId="7DD3A90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（7）其他管理因素缺陷。</w:t>
      </w:r>
    </w:p>
    <w:p w14:paraId="1C14AF1E">
      <w:pPr>
        <w:spacing w:line="560" w:lineRule="exact"/>
        <w:rPr>
          <w:rFonts w:hint="eastAsia" w:ascii="仿宋_GB2312" w:hAnsi="仿宋_GB2312" w:eastAsia="仿宋_GB2312" w:cs="仿宋_GB2312"/>
          <w:sz w:val="28"/>
          <w:szCs w:val="28"/>
        </w:rPr>
      </w:pPr>
    </w:p>
    <w:p w14:paraId="27A9341C">
      <w:pPr>
        <w:spacing w:line="560" w:lineRule="exact"/>
        <w:rPr>
          <w:rFonts w:hint="eastAsia" w:ascii="仿宋_GB2312" w:hAnsi="仿宋_GB2312" w:eastAsia="仿宋_GB2312" w:cs="仿宋_GB2312"/>
          <w:sz w:val="28"/>
          <w:szCs w:val="28"/>
        </w:rPr>
      </w:pPr>
    </w:p>
    <w:p w14:paraId="4C7FC210">
      <w:pPr>
        <w:spacing w:line="560" w:lineRule="exact"/>
        <w:rPr>
          <w:rFonts w:hint="eastAsia" w:ascii="仿宋_GB2312" w:hAnsi="仿宋_GB2312" w:eastAsia="仿宋_GB2312" w:cs="仿宋_GB2312"/>
          <w:sz w:val="28"/>
          <w:szCs w:val="28"/>
        </w:rPr>
      </w:pPr>
    </w:p>
    <w:p w14:paraId="3BDE930A">
      <w:pPr>
        <w:spacing w:line="560" w:lineRule="exact"/>
        <w:rPr>
          <w:rFonts w:hint="eastAsia" w:ascii="仿宋_GB2312" w:hAnsi="仿宋_GB2312" w:eastAsia="仿宋_GB2312" w:cs="仿宋_GB2312"/>
          <w:sz w:val="28"/>
          <w:szCs w:val="28"/>
        </w:rPr>
      </w:pPr>
    </w:p>
    <w:p w14:paraId="27222E99">
      <w:pPr>
        <w:spacing w:line="560" w:lineRule="exact"/>
        <w:rPr>
          <w:rFonts w:hint="eastAsia" w:ascii="仿宋_GB2312" w:hAnsi="仿宋_GB2312" w:eastAsia="仿宋_GB2312" w:cs="仿宋_GB2312"/>
          <w:sz w:val="28"/>
          <w:szCs w:val="28"/>
        </w:rPr>
      </w:pPr>
    </w:p>
    <w:p w14:paraId="274131E1">
      <w:pPr>
        <w:spacing w:line="560" w:lineRule="exact"/>
        <w:rPr>
          <w:rFonts w:hint="eastAsia" w:ascii="仿宋_GB2312" w:hAnsi="仿宋_GB2312" w:eastAsia="仿宋_GB2312" w:cs="仿宋_GB2312"/>
          <w:sz w:val="28"/>
          <w:szCs w:val="28"/>
        </w:rPr>
      </w:pPr>
    </w:p>
    <w:p w14:paraId="7ADDF12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w:t>
      </w:r>
    </w:p>
    <w:p w14:paraId="3CF93FE5">
      <w:pPr>
        <w:jc w:val="center"/>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常用危险源评价方法</w:t>
      </w:r>
    </w:p>
    <w:p w14:paraId="52D9163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重大危险源</w:t>
      </w:r>
    </w:p>
    <w:p w14:paraId="6A04332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根据《危险化学品重大危险源辨识》(GB18218-2009)判断是否存在重大危险源，如存在，按照法规要求登记备案重点管控。</w:t>
      </w:r>
    </w:p>
    <w:p w14:paraId="373E35D4">
      <w:pPr>
        <w:rPr>
          <w:rFonts w:hint="eastAsia" w:ascii="仿宋_GB2312" w:hAnsi="仿宋_GB2312" w:eastAsia="仿宋_GB2312" w:cs="仿宋_GB2312"/>
          <w:sz w:val="32"/>
          <w:szCs w:val="32"/>
        </w:rPr>
      </w:pPr>
      <w:bookmarkStart w:id="88" w:name="_Toc448219047"/>
      <w:r>
        <w:rPr>
          <w:rFonts w:hint="eastAsia" w:ascii="仿宋_GB2312" w:hAnsi="仿宋_GB2312" w:eastAsia="仿宋_GB2312" w:cs="仿宋_GB2312"/>
          <w:sz w:val="32"/>
          <w:szCs w:val="32"/>
        </w:rPr>
        <w:t>2  MES评价法</w:t>
      </w:r>
    </w:p>
    <w:p w14:paraId="41ED1C1A">
      <w:pPr>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2.1  风险的定义</w:t>
      </w:r>
    </w:p>
    <w:p w14:paraId="6AA9FA7D">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特定危害性事件发生的可能性与后果的组合。人们常常将可能性L的大小和后果S的严重程度分别用表明相对差距的数值来表示，然后用两者的乘积反映风险程度R的大小，即R=LS。</w:t>
      </w:r>
    </w:p>
    <w:p w14:paraId="4716E74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  事故发生的可能性L</w:t>
      </w:r>
    </w:p>
    <w:p w14:paraId="040E7EF9">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人身伤害事故和职业相关病症发生的可能性主要取决于对于特定危害的控制措施的状态M和人体暴露于危险（危险状态）的频繁程度E</w:t>
      </w:r>
      <w:r>
        <w:rPr>
          <w:rFonts w:hint="eastAsia" w:ascii="仿宋_GB2312" w:hAnsi="仿宋_GB2312" w:eastAsia="仿宋_GB2312" w:cs="仿宋_GB2312"/>
          <w:kern w:val="0"/>
          <w:sz w:val="32"/>
          <w:szCs w:val="32"/>
          <w:vertAlign w:val="subscript"/>
        </w:rPr>
        <w:t>1</w:t>
      </w:r>
      <w:r>
        <w:rPr>
          <w:rFonts w:hint="eastAsia" w:ascii="仿宋_GB2312" w:hAnsi="仿宋_GB2312" w:eastAsia="仿宋_GB2312" w:cs="仿宋_GB2312"/>
          <w:kern w:val="0"/>
          <w:sz w:val="32"/>
          <w:szCs w:val="32"/>
        </w:rPr>
        <w:t>；单纯财产损失事故和环境污染事故发生的可能性主要取决于对于特定危险的控制措施的状态M和危险（危险状态）出现的频次E</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w:t>
      </w:r>
    </w:p>
    <w:p w14:paraId="735D2BFB">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对于特定危害引起特定事故而言，无控制措施时发生的可能性大，有减轻后果的应急措施时发生的可能性较小，有预防措施时发生的可能性最小，控制措施的状态M的赋值见表2。</w:t>
      </w:r>
    </w:p>
    <w:tbl>
      <w:tblPr>
        <w:tblStyle w:val="1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7"/>
        <w:gridCol w:w="7097"/>
      </w:tblGrid>
      <w:tr w14:paraId="27053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707" w:type="dxa"/>
          </w:tcPr>
          <w:p w14:paraId="39660F88">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分数值</w:t>
            </w:r>
          </w:p>
        </w:tc>
        <w:tc>
          <w:tcPr>
            <w:tcW w:w="7097" w:type="dxa"/>
          </w:tcPr>
          <w:p w14:paraId="7E71549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控制措施的状态</w:t>
            </w:r>
          </w:p>
        </w:tc>
      </w:tr>
      <w:tr w14:paraId="6D3F7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1707" w:type="dxa"/>
          </w:tcPr>
          <w:p w14:paraId="2EFB926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5</w:t>
            </w:r>
          </w:p>
        </w:tc>
        <w:tc>
          <w:tcPr>
            <w:tcW w:w="7097" w:type="dxa"/>
          </w:tcPr>
          <w:p w14:paraId="70B487B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无控制措施</w:t>
            </w:r>
          </w:p>
        </w:tc>
      </w:tr>
      <w:tr w14:paraId="00351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707" w:type="dxa"/>
          </w:tcPr>
          <w:p w14:paraId="513CA40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7097" w:type="dxa"/>
          </w:tcPr>
          <w:p w14:paraId="0F0E7BB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有减轻后果的应急措施，如警报系统、个体防护用品</w:t>
            </w:r>
          </w:p>
        </w:tc>
      </w:tr>
      <w:tr w14:paraId="60FF0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1707" w:type="dxa"/>
          </w:tcPr>
          <w:p w14:paraId="716D51C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7097" w:type="dxa"/>
          </w:tcPr>
          <w:p w14:paraId="47D9E7F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有预防措施，如机器防护装置，但须保证有效</w:t>
            </w:r>
          </w:p>
        </w:tc>
      </w:tr>
    </w:tbl>
    <w:p w14:paraId="327FAECA">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表2 控制措施的状态M</w:t>
      </w:r>
    </w:p>
    <w:p w14:paraId="458DAE46">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人体暴露于危险状态的频繁程度越大，发生伤害事故的可能性越大；危险状态出现的频次越高，发生财产损失的可能性越大。人体暴露的频繁程度或危险状态出现的频次E的赋值见表3。</w:t>
      </w:r>
    </w:p>
    <w:tbl>
      <w:tblPr>
        <w:tblStyle w:val="15"/>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4252"/>
        <w:gridCol w:w="3707"/>
      </w:tblGrid>
      <w:tr w14:paraId="7FEC8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14:paraId="0732FFA4">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分数值</w:t>
            </w:r>
          </w:p>
        </w:tc>
        <w:tc>
          <w:tcPr>
            <w:tcW w:w="4252" w:type="dxa"/>
          </w:tcPr>
          <w:p w14:paraId="287D246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E</w:t>
            </w:r>
            <w:r>
              <w:rPr>
                <w:rFonts w:hint="eastAsia" w:ascii="仿宋_GB2312" w:hAnsi="仿宋_GB2312" w:eastAsia="仿宋_GB2312" w:cs="仿宋_GB2312"/>
                <w:kern w:val="0"/>
                <w:szCs w:val="21"/>
                <w:vertAlign w:val="subscript"/>
              </w:rPr>
              <w:t>1</w:t>
            </w:r>
            <w:r>
              <w:rPr>
                <w:rFonts w:hint="eastAsia" w:ascii="仿宋_GB2312" w:hAnsi="仿宋_GB2312" w:eastAsia="仿宋_GB2312" w:cs="仿宋_GB2312"/>
                <w:kern w:val="0"/>
                <w:szCs w:val="21"/>
              </w:rPr>
              <w:t>（人身伤害和职业相关病症）：</w:t>
            </w:r>
          </w:p>
          <w:p w14:paraId="351A50B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人体暴露于危险状态的频繁程度</w:t>
            </w:r>
          </w:p>
        </w:tc>
        <w:tc>
          <w:tcPr>
            <w:tcW w:w="3707" w:type="dxa"/>
          </w:tcPr>
          <w:p w14:paraId="5302568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E</w:t>
            </w:r>
            <w:r>
              <w:rPr>
                <w:rFonts w:hint="eastAsia" w:ascii="仿宋_GB2312" w:hAnsi="仿宋_GB2312" w:eastAsia="仿宋_GB2312" w:cs="仿宋_GB2312"/>
                <w:kern w:val="0"/>
                <w:szCs w:val="21"/>
                <w:vertAlign w:val="subscript"/>
              </w:rPr>
              <w:t>2</w:t>
            </w:r>
            <w:r>
              <w:rPr>
                <w:rFonts w:hint="eastAsia" w:ascii="仿宋_GB2312" w:hAnsi="仿宋_GB2312" w:eastAsia="仿宋_GB2312" w:cs="仿宋_GB2312"/>
                <w:kern w:val="0"/>
                <w:szCs w:val="21"/>
              </w:rPr>
              <w:t>（财产损失和环境污染）：</w:t>
            </w:r>
          </w:p>
          <w:p w14:paraId="76A0974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危险状态出现的频次</w:t>
            </w:r>
          </w:p>
        </w:tc>
      </w:tr>
      <w:tr w14:paraId="50653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69BCD8C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4252" w:type="dxa"/>
          </w:tcPr>
          <w:p w14:paraId="32CBF64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连续暴露（工作时间不离工作岗位）</w:t>
            </w:r>
          </w:p>
        </w:tc>
        <w:tc>
          <w:tcPr>
            <w:tcW w:w="3707" w:type="dxa"/>
          </w:tcPr>
          <w:p w14:paraId="4F7770B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常态（危险状态长存）</w:t>
            </w:r>
          </w:p>
        </w:tc>
      </w:tr>
      <w:tr w14:paraId="24855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0D6A3A9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6</w:t>
            </w:r>
          </w:p>
        </w:tc>
        <w:tc>
          <w:tcPr>
            <w:tcW w:w="4252" w:type="dxa"/>
          </w:tcPr>
          <w:p w14:paraId="1DB6E61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每天工作时间内暴露</w:t>
            </w:r>
          </w:p>
          <w:p w14:paraId="220C41D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（工作时间内暴露一至几次）</w:t>
            </w:r>
          </w:p>
        </w:tc>
        <w:tc>
          <w:tcPr>
            <w:tcW w:w="3707" w:type="dxa"/>
          </w:tcPr>
          <w:p w14:paraId="489B2912">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每天工作时间出现（危险状态出现一至几次）</w:t>
            </w:r>
          </w:p>
        </w:tc>
      </w:tr>
      <w:tr w14:paraId="232D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1C52769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4252" w:type="dxa"/>
          </w:tcPr>
          <w:p w14:paraId="39E31BB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每周一次，或偶然暴露</w:t>
            </w:r>
          </w:p>
        </w:tc>
        <w:tc>
          <w:tcPr>
            <w:tcW w:w="3707" w:type="dxa"/>
          </w:tcPr>
          <w:p w14:paraId="505D730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每周一次，或偶然出现</w:t>
            </w:r>
          </w:p>
        </w:tc>
      </w:tr>
      <w:tr w14:paraId="27F5B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62A680A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4252" w:type="dxa"/>
          </w:tcPr>
          <w:p w14:paraId="3BE5F40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每月一次暴露</w:t>
            </w:r>
          </w:p>
        </w:tc>
        <w:tc>
          <w:tcPr>
            <w:tcW w:w="3707" w:type="dxa"/>
          </w:tcPr>
          <w:p w14:paraId="70FC423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每月一次出现</w:t>
            </w:r>
          </w:p>
        </w:tc>
      </w:tr>
      <w:tr w14:paraId="21B61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0D2AF04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4252" w:type="dxa"/>
          </w:tcPr>
          <w:p w14:paraId="2F56847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每年几次暴露</w:t>
            </w:r>
          </w:p>
        </w:tc>
        <w:tc>
          <w:tcPr>
            <w:tcW w:w="3707" w:type="dxa"/>
          </w:tcPr>
          <w:p w14:paraId="65FB797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每年几次出现</w:t>
            </w:r>
          </w:p>
        </w:tc>
      </w:tr>
      <w:tr w14:paraId="23DD2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14:paraId="7191970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0.5</w:t>
            </w:r>
          </w:p>
        </w:tc>
        <w:tc>
          <w:tcPr>
            <w:tcW w:w="4252" w:type="dxa"/>
          </w:tcPr>
          <w:p w14:paraId="426F5CB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更少的暴露</w:t>
            </w:r>
          </w:p>
        </w:tc>
        <w:tc>
          <w:tcPr>
            <w:tcW w:w="3707" w:type="dxa"/>
          </w:tcPr>
          <w:p w14:paraId="2CC5C6C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更少的出现</w:t>
            </w:r>
          </w:p>
        </w:tc>
      </w:tr>
    </w:tbl>
    <w:p w14:paraId="1CD9D6E1">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4"/>
        </w:rPr>
        <w:t>表3 人体暴露的频繁程度或危险状态出现的频次E</w:t>
      </w:r>
      <w:r>
        <w:rPr>
          <w:rFonts w:hint="eastAsia" w:ascii="仿宋_GB2312" w:hAnsi="仿宋_GB2312" w:eastAsia="仿宋_GB2312" w:cs="仿宋_GB2312"/>
          <w:kern w:val="0"/>
          <w:sz w:val="20"/>
          <w:szCs w:val="20"/>
        </w:rPr>
        <w:t> </w:t>
      </w:r>
    </w:p>
    <w:p w14:paraId="1F6F6C2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  事故的可能后果S</w:t>
      </w:r>
    </w:p>
    <w:p w14:paraId="30B5706F">
      <w:pPr>
        <w:widowControl/>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按伤害、职业相关病症、财产损失、环境影响等方面不同事故后果的分档赋值见表4。</w:t>
      </w:r>
    </w:p>
    <w:tbl>
      <w:tblPr>
        <w:tblStyle w:val="15"/>
        <w:tblW w:w="907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2"/>
        <w:gridCol w:w="1812"/>
        <w:gridCol w:w="1587"/>
        <w:gridCol w:w="2268"/>
        <w:gridCol w:w="1843"/>
      </w:tblGrid>
      <w:tr w14:paraId="7CE5E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Merge w:val="restart"/>
            <w:vAlign w:val="center"/>
          </w:tcPr>
          <w:p w14:paraId="225E179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分数值</w:t>
            </w:r>
          </w:p>
        </w:tc>
        <w:tc>
          <w:tcPr>
            <w:tcW w:w="7510" w:type="dxa"/>
            <w:gridSpan w:val="4"/>
            <w:vAlign w:val="center"/>
          </w:tcPr>
          <w:p w14:paraId="7C314D2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事 故 的 可 能 后 果</w:t>
            </w:r>
          </w:p>
        </w:tc>
      </w:tr>
      <w:tr w14:paraId="7D5F6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Merge w:val="continue"/>
            <w:vAlign w:val="center"/>
          </w:tcPr>
          <w:p w14:paraId="7E36BD62">
            <w:pPr>
              <w:widowControl/>
              <w:jc w:val="left"/>
              <w:rPr>
                <w:rFonts w:hint="eastAsia" w:ascii="仿宋_GB2312" w:hAnsi="仿宋_GB2312" w:eastAsia="仿宋_GB2312" w:cs="仿宋_GB2312"/>
                <w:kern w:val="0"/>
                <w:szCs w:val="21"/>
              </w:rPr>
            </w:pPr>
          </w:p>
        </w:tc>
        <w:tc>
          <w:tcPr>
            <w:tcW w:w="1812" w:type="dxa"/>
            <w:vAlign w:val="center"/>
          </w:tcPr>
          <w:p w14:paraId="2B85F91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伤害</w:t>
            </w:r>
          </w:p>
        </w:tc>
        <w:tc>
          <w:tcPr>
            <w:tcW w:w="1587" w:type="dxa"/>
            <w:vAlign w:val="center"/>
          </w:tcPr>
          <w:p w14:paraId="08A13E4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职业相关病症</w:t>
            </w:r>
          </w:p>
        </w:tc>
        <w:tc>
          <w:tcPr>
            <w:tcW w:w="2268" w:type="dxa"/>
            <w:vAlign w:val="center"/>
          </w:tcPr>
          <w:p w14:paraId="6B80E51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财产损失/元</w:t>
            </w:r>
          </w:p>
        </w:tc>
        <w:tc>
          <w:tcPr>
            <w:tcW w:w="1843" w:type="dxa"/>
            <w:vAlign w:val="center"/>
          </w:tcPr>
          <w:p w14:paraId="7AD2F8E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环境影响</w:t>
            </w:r>
          </w:p>
        </w:tc>
      </w:tr>
      <w:tr w14:paraId="5A2AF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Align w:val="center"/>
          </w:tcPr>
          <w:p w14:paraId="1A823C4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w:t>
            </w:r>
          </w:p>
        </w:tc>
        <w:tc>
          <w:tcPr>
            <w:tcW w:w="1812" w:type="dxa"/>
            <w:vAlign w:val="center"/>
          </w:tcPr>
          <w:p w14:paraId="7838510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多人死亡</w:t>
            </w:r>
          </w:p>
        </w:tc>
        <w:tc>
          <w:tcPr>
            <w:tcW w:w="1587" w:type="dxa"/>
            <w:vAlign w:val="center"/>
          </w:tcPr>
          <w:p w14:paraId="5FD4EBF2">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w:t>
            </w:r>
          </w:p>
        </w:tc>
        <w:tc>
          <w:tcPr>
            <w:tcW w:w="2268" w:type="dxa"/>
            <w:vAlign w:val="center"/>
          </w:tcPr>
          <w:p w14:paraId="34686172">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&gt;1千万</w:t>
            </w:r>
          </w:p>
        </w:tc>
        <w:tc>
          <w:tcPr>
            <w:tcW w:w="1843" w:type="dxa"/>
            <w:vAlign w:val="center"/>
          </w:tcPr>
          <w:p w14:paraId="6C13600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有重大环境影响</w:t>
            </w:r>
          </w:p>
        </w:tc>
      </w:tr>
      <w:tr w14:paraId="381F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Align w:val="center"/>
          </w:tcPr>
          <w:p w14:paraId="0357D3E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8</w:t>
            </w:r>
          </w:p>
        </w:tc>
        <w:tc>
          <w:tcPr>
            <w:tcW w:w="1812" w:type="dxa"/>
            <w:vAlign w:val="center"/>
          </w:tcPr>
          <w:p w14:paraId="0DDDAE1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1人死亡或多人永久失能</w:t>
            </w:r>
          </w:p>
        </w:tc>
        <w:tc>
          <w:tcPr>
            <w:tcW w:w="1587" w:type="dxa"/>
            <w:vAlign w:val="center"/>
          </w:tcPr>
          <w:p w14:paraId="4792C37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多人患职业病</w:t>
            </w:r>
          </w:p>
        </w:tc>
        <w:tc>
          <w:tcPr>
            <w:tcW w:w="2268" w:type="dxa"/>
            <w:vAlign w:val="center"/>
          </w:tcPr>
          <w:p w14:paraId="6402663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100万（含）-1000万</w:t>
            </w:r>
          </w:p>
        </w:tc>
        <w:tc>
          <w:tcPr>
            <w:tcW w:w="1843" w:type="dxa"/>
            <w:vAlign w:val="center"/>
          </w:tcPr>
          <w:p w14:paraId="57D328D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有中等环境影响</w:t>
            </w:r>
          </w:p>
        </w:tc>
      </w:tr>
      <w:tr w14:paraId="66B09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Align w:val="center"/>
          </w:tcPr>
          <w:p w14:paraId="680EC51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812" w:type="dxa"/>
            <w:vAlign w:val="center"/>
          </w:tcPr>
          <w:p w14:paraId="1943BD9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1人永久失能</w:t>
            </w:r>
          </w:p>
        </w:tc>
        <w:tc>
          <w:tcPr>
            <w:tcW w:w="1587" w:type="dxa"/>
            <w:vAlign w:val="center"/>
          </w:tcPr>
          <w:p w14:paraId="321D42F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1人患职业病</w:t>
            </w:r>
          </w:p>
        </w:tc>
        <w:tc>
          <w:tcPr>
            <w:tcW w:w="2268" w:type="dxa"/>
            <w:vAlign w:val="center"/>
          </w:tcPr>
          <w:p w14:paraId="3A785E7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10万（含）-100万</w:t>
            </w:r>
          </w:p>
        </w:tc>
        <w:tc>
          <w:tcPr>
            <w:tcW w:w="1843" w:type="dxa"/>
            <w:vAlign w:val="center"/>
          </w:tcPr>
          <w:p w14:paraId="07EC618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有较轻环境影响</w:t>
            </w:r>
          </w:p>
        </w:tc>
      </w:tr>
      <w:tr w14:paraId="06C71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Align w:val="center"/>
          </w:tcPr>
          <w:p w14:paraId="1F7A0ED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812" w:type="dxa"/>
            <w:vAlign w:val="center"/>
          </w:tcPr>
          <w:p w14:paraId="2EC949A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需医院治疗，缺工</w:t>
            </w:r>
          </w:p>
        </w:tc>
        <w:tc>
          <w:tcPr>
            <w:tcW w:w="1587" w:type="dxa"/>
            <w:vAlign w:val="center"/>
          </w:tcPr>
          <w:p w14:paraId="012388E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职业性多发病</w:t>
            </w:r>
          </w:p>
        </w:tc>
        <w:tc>
          <w:tcPr>
            <w:tcW w:w="2268" w:type="dxa"/>
            <w:vAlign w:val="center"/>
          </w:tcPr>
          <w:p w14:paraId="4BC0F15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1万（含）-10万</w:t>
            </w:r>
          </w:p>
        </w:tc>
        <w:tc>
          <w:tcPr>
            <w:tcW w:w="1843" w:type="dxa"/>
            <w:vAlign w:val="center"/>
          </w:tcPr>
          <w:p w14:paraId="2E2FD95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有局部环境影响</w:t>
            </w:r>
          </w:p>
        </w:tc>
      </w:tr>
      <w:tr w14:paraId="36B44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2" w:type="dxa"/>
            <w:vAlign w:val="center"/>
          </w:tcPr>
          <w:p w14:paraId="61E7931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812" w:type="dxa"/>
            <w:vAlign w:val="center"/>
          </w:tcPr>
          <w:p w14:paraId="240B1DE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轻微，仅需急救</w:t>
            </w:r>
          </w:p>
        </w:tc>
        <w:tc>
          <w:tcPr>
            <w:tcW w:w="1587" w:type="dxa"/>
            <w:vAlign w:val="center"/>
          </w:tcPr>
          <w:p w14:paraId="53C37D4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职业因素引起的身体不适</w:t>
            </w:r>
          </w:p>
        </w:tc>
        <w:tc>
          <w:tcPr>
            <w:tcW w:w="2268" w:type="dxa"/>
            <w:vAlign w:val="center"/>
          </w:tcPr>
          <w:p w14:paraId="5580435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&lt;1万</w:t>
            </w:r>
          </w:p>
        </w:tc>
        <w:tc>
          <w:tcPr>
            <w:tcW w:w="1843" w:type="dxa"/>
            <w:vAlign w:val="center"/>
          </w:tcPr>
          <w:p w14:paraId="0D3672A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无环境影响</w:t>
            </w:r>
          </w:p>
        </w:tc>
      </w:tr>
      <w:tr w14:paraId="6FAD5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72" w:type="dxa"/>
            <w:gridSpan w:val="5"/>
          </w:tcPr>
          <w:p w14:paraId="641AD75C">
            <w:pPr>
              <w:widowControl/>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注：1.永久失能是指某肢体残缺，或虽未残缺但功能完全丧失。</w:t>
            </w:r>
          </w:p>
          <w:p w14:paraId="7D1C824D">
            <w:pPr>
              <w:widowControl/>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2.职业病按《中华人民共和国职业病防治法》的规定分类。</w:t>
            </w:r>
          </w:p>
          <w:p w14:paraId="4C0564DB">
            <w:pPr>
              <w:widowControl/>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职业性多发病是指凡是职业性有害因素直接或间接地构成该病病因之一的非特异性病症均属于职业性多发病（也称工作有关疾病、职业性相关疾病）。如疲劳、矿工中的消化性溃疡、建筑工中的肌肉骨骼疾病（如腰背痛）、各种职业性综合症等。</w:t>
            </w:r>
          </w:p>
          <w:p w14:paraId="7FA360C2">
            <w:pPr>
              <w:widowControl/>
              <w:rPr>
                <w:rFonts w:hint="eastAsia" w:ascii="仿宋_GB2312" w:hAnsi="仿宋_GB2312" w:eastAsia="仿宋_GB2312" w:cs="仿宋_GB2312"/>
                <w:kern w:val="0"/>
                <w:sz w:val="32"/>
                <w:szCs w:val="32"/>
              </w:rPr>
            </w:pPr>
            <w:r>
              <w:rPr>
                <w:rFonts w:hint="eastAsia" w:ascii="仿宋_GB2312" w:hAnsi="仿宋_GB2312" w:eastAsia="仿宋_GB2312" w:cs="仿宋_GB2312"/>
                <w:kern w:val="0"/>
                <w:szCs w:val="21"/>
              </w:rPr>
              <w:t>4.职业因素引发的身体不适的例子：如某化工厂某个车间的工人中多数眼睛发红，另一个车间的工人多数嗓子不好，放假几天后症状消失，上工数天后症状重现。</w:t>
            </w:r>
          </w:p>
        </w:tc>
      </w:tr>
    </w:tbl>
    <w:p w14:paraId="111BF489">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表4 事故的可能后果S </w:t>
      </w:r>
    </w:p>
    <w:p w14:paraId="67C29F8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  风险程度R=L*S=MES</w:t>
      </w:r>
    </w:p>
    <w:p w14:paraId="17664095">
      <w:pPr>
        <w:widowControl/>
        <w:ind w:firstLine="640" w:firstLineChars="200"/>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32"/>
          <w:szCs w:val="32"/>
        </w:rPr>
        <w:t>将控制措施的状态M、暴露的频繁程度E（E</w:t>
      </w:r>
      <w:r>
        <w:rPr>
          <w:rFonts w:hint="eastAsia" w:ascii="仿宋_GB2312" w:hAnsi="仿宋_GB2312" w:eastAsia="仿宋_GB2312" w:cs="仿宋_GB2312"/>
          <w:kern w:val="0"/>
          <w:sz w:val="32"/>
          <w:szCs w:val="32"/>
          <w:vertAlign w:val="subscript"/>
        </w:rPr>
        <w:t>1</w:t>
      </w:r>
      <w:r>
        <w:rPr>
          <w:rFonts w:hint="eastAsia" w:ascii="仿宋_GB2312" w:hAnsi="仿宋_GB2312" w:eastAsia="仿宋_GB2312" w:cs="仿宋_GB2312"/>
          <w:kern w:val="0"/>
          <w:sz w:val="32"/>
          <w:szCs w:val="32"/>
        </w:rPr>
        <w:t>或E</w:t>
      </w:r>
      <w:r>
        <w:rPr>
          <w:rFonts w:hint="eastAsia" w:ascii="仿宋_GB2312" w:hAnsi="仿宋_GB2312" w:eastAsia="仿宋_GB2312" w:cs="仿宋_GB2312"/>
          <w:kern w:val="0"/>
          <w:sz w:val="32"/>
          <w:szCs w:val="32"/>
          <w:vertAlign w:val="subscript"/>
        </w:rPr>
        <w:t>2</w:t>
      </w:r>
      <w:r>
        <w:rPr>
          <w:rFonts w:hint="eastAsia" w:ascii="仿宋_GB2312" w:hAnsi="仿宋_GB2312" w:eastAsia="仿宋_GB2312" w:cs="仿宋_GB2312"/>
          <w:kern w:val="0"/>
          <w:sz w:val="32"/>
          <w:szCs w:val="32"/>
        </w:rPr>
        <w:t>）、一旦发生事故会造成的损失后果S分别分为若干等级，并赋予一定的相应分值。风险程度R为后三者的乘积。将R亦分为若干等级，针对特定的作业条件，恰当地选取M、E、S的值，根据相乘后的积确定风险程度R的级别,风险程度的分级见表5。</w:t>
      </w:r>
    </w:p>
    <w:tbl>
      <w:tblPr>
        <w:tblStyle w:val="15"/>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03"/>
        <w:gridCol w:w="4394"/>
      </w:tblGrid>
      <w:tr w14:paraId="66885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4503" w:type="dxa"/>
          </w:tcPr>
          <w:p w14:paraId="0CDC77D4">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R=MES</w:t>
            </w:r>
          </w:p>
        </w:tc>
        <w:tc>
          <w:tcPr>
            <w:tcW w:w="4394" w:type="dxa"/>
          </w:tcPr>
          <w:p w14:paraId="63397CB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风险程度（等级）</w:t>
            </w:r>
          </w:p>
        </w:tc>
      </w:tr>
      <w:tr w14:paraId="05085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4503" w:type="dxa"/>
            <w:vAlign w:val="center"/>
          </w:tcPr>
          <w:p w14:paraId="36EFCAD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＞180</w:t>
            </w:r>
          </w:p>
        </w:tc>
        <w:tc>
          <w:tcPr>
            <w:tcW w:w="4394" w:type="dxa"/>
            <w:vAlign w:val="center"/>
          </w:tcPr>
          <w:p w14:paraId="0E32120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一级</w:t>
            </w:r>
          </w:p>
        </w:tc>
      </w:tr>
      <w:tr w14:paraId="586D6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4503" w:type="dxa"/>
            <w:vAlign w:val="center"/>
          </w:tcPr>
          <w:p w14:paraId="45484D2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90-150</w:t>
            </w:r>
          </w:p>
        </w:tc>
        <w:tc>
          <w:tcPr>
            <w:tcW w:w="4394" w:type="dxa"/>
            <w:vAlign w:val="center"/>
          </w:tcPr>
          <w:p w14:paraId="2D18301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二级</w:t>
            </w:r>
          </w:p>
        </w:tc>
      </w:tr>
      <w:tr w14:paraId="062F2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4503" w:type="dxa"/>
            <w:vAlign w:val="center"/>
          </w:tcPr>
          <w:p w14:paraId="091F261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50-80</w:t>
            </w:r>
          </w:p>
        </w:tc>
        <w:tc>
          <w:tcPr>
            <w:tcW w:w="4394" w:type="dxa"/>
            <w:vAlign w:val="center"/>
          </w:tcPr>
          <w:p w14:paraId="02B3373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三级</w:t>
            </w:r>
          </w:p>
        </w:tc>
      </w:tr>
      <w:tr w14:paraId="58DEB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4503" w:type="dxa"/>
            <w:vAlign w:val="center"/>
          </w:tcPr>
          <w:p w14:paraId="3312632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≤48</w:t>
            </w:r>
          </w:p>
        </w:tc>
        <w:tc>
          <w:tcPr>
            <w:tcW w:w="4394" w:type="dxa"/>
            <w:vAlign w:val="center"/>
          </w:tcPr>
          <w:p w14:paraId="4095862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四级</w:t>
            </w:r>
          </w:p>
        </w:tc>
      </w:tr>
      <w:tr w14:paraId="4E753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4" w:hRule="atLeast"/>
        </w:trPr>
        <w:tc>
          <w:tcPr>
            <w:tcW w:w="8897" w:type="dxa"/>
            <w:gridSpan w:val="2"/>
          </w:tcPr>
          <w:p w14:paraId="3E29BF4A">
            <w:pPr>
              <w:widowControl/>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注：风险程度是可能性和后果的二次函数。当用两者的乘积反应风险程度的大小时，从数学上讲，乘积前面应当有一定系数。但系数仅是乘积的一个倍数，不影响不同乘积间的比值；也就是说，不影响风险程度的相对比值。因此，简单起见，将系数取为1。</w:t>
            </w:r>
          </w:p>
        </w:tc>
      </w:tr>
    </w:tbl>
    <w:p w14:paraId="5CEB0383">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表5 风险程度分级</w:t>
      </w:r>
    </w:p>
    <w:p w14:paraId="15D20065">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风险矩阵法</w:t>
      </w:r>
    </w:p>
    <w:p w14:paraId="7B8C6D0F">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  后果严重程度</w:t>
      </w:r>
    </w:p>
    <w:p w14:paraId="34DFEE3F">
      <w:pPr>
        <w:widowControl/>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由于系统或设备的故障、环境条件、设计缺陷、操作规程不当、人为差错均可能引起有害后果，将这些后果的严重程度相对定性地分为若干级，称为危险事件的严重性等级，等级划分情况见表6。</w:t>
      </w:r>
    </w:p>
    <w:tbl>
      <w:tblPr>
        <w:tblStyle w:val="15"/>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851"/>
        <w:gridCol w:w="1842"/>
        <w:gridCol w:w="1510"/>
        <w:gridCol w:w="1510"/>
        <w:gridCol w:w="2509"/>
      </w:tblGrid>
      <w:tr w14:paraId="566B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7E95573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级别</w:t>
            </w:r>
          </w:p>
        </w:tc>
        <w:tc>
          <w:tcPr>
            <w:tcW w:w="851" w:type="dxa"/>
          </w:tcPr>
          <w:p w14:paraId="5A49B42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定义</w:t>
            </w:r>
          </w:p>
        </w:tc>
        <w:tc>
          <w:tcPr>
            <w:tcW w:w="1842" w:type="dxa"/>
          </w:tcPr>
          <w:p w14:paraId="558F93D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伤害</w:t>
            </w:r>
          </w:p>
        </w:tc>
        <w:tc>
          <w:tcPr>
            <w:tcW w:w="1510" w:type="dxa"/>
          </w:tcPr>
          <w:p w14:paraId="14F70BE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职业相关病症</w:t>
            </w:r>
          </w:p>
        </w:tc>
        <w:tc>
          <w:tcPr>
            <w:tcW w:w="1510" w:type="dxa"/>
          </w:tcPr>
          <w:p w14:paraId="3613FE0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财产损失（元）</w:t>
            </w:r>
          </w:p>
        </w:tc>
        <w:tc>
          <w:tcPr>
            <w:tcW w:w="2509" w:type="dxa"/>
          </w:tcPr>
          <w:p w14:paraId="6CE7F1E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环境影响</w:t>
            </w:r>
          </w:p>
        </w:tc>
      </w:tr>
      <w:tr w14:paraId="647BC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5BD002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w:t>
            </w:r>
          </w:p>
        </w:tc>
        <w:tc>
          <w:tcPr>
            <w:tcW w:w="851" w:type="dxa"/>
          </w:tcPr>
          <w:p w14:paraId="3CF4C88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重大</w:t>
            </w:r>
          </w:p>
        </w:tc>
        <w:tc>
          <w:tcPr>
            <w:tcW w:w="1842" w:type="dxa"/>
            <w:vAlign w:val="center"/>
          </w:tcPr>
          <w:p w14:paraId="6AF8FA3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多人死亡</w:t>
            </w:r>
          </w:p>
        </w:tc>
        <w:tc>
          <w:tcPr>
            <w:tcW w:w="1510" w:type="dxa"/>
            <w:vAlign w:val="center"/>
          </w:tcPr>
          <w:p w14:paraId="29BFAA3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w:t>
            </w:r>
          </w:p>
        </w:tc>
        <w:tc>
          <w:tcPr>
            <w:tcW w:w="1510" w:type="dxa"/>
            <w:vAlign w:val="center"/>
          </w:tcPr>
          <w:p w14:paraId="6C2C596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&gt;1千万</w:t>
            </w:r>
          </w:p>
        </w:tc>
        <w:tc>
          <w:tcPr>
            <w:tcW w:w="2509" w:type="dxa"/>
            <w:vAlign w:val="center"/>
          </w:tcPr>
          <w:p w14:paraId="6926E61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重大影响，不可控排放</w:t>
            </w:r>
          </w:p>
        </w:tc>
      </w:tr>
      <w:tr w14:paraId="05104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2CC98A7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二</w:t>
            </w:r>
          </w:p>
        </w:tc>
        <w:tc>
          <w:tcPr>
            <w:tcW w:w="851" w:type="dxa"/>
          </w:tcPr>
          <w:p w14:paraId="61D8504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严重</w:t>
            </w:r>
          </w:p>
        </w:tc>
        <w:tc>
          <w:tcPr>
            <w:tcW w:w="1842" w:type="dxa"/>
            <w:vAlign w:val="center"/>
          </w:tcPr>
          <w:p w14:paraId="5ED914E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1人死亡或多人永久失能</w:t>
            </w:r>
          </w:p>
        </w:tc>
        <w:tc>
          <w:tcPr>
            <w:tcW w:w="1510" w:type="dxa"/>
            <w:vAlign w:val="center"/>
          </w:tcPr>
          <w:p w14:paraId="63EA2E3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多人患职业病</w:t>
            </w:r>
          </w:p>
        </w:tc>
        <w:tc>
          <w:tcPr>
            <w:tcW w:w="1510" w:type="dxa"/>
            <w:vAlign w:val="center"/>
          </w:tcPr>
          <w:p w14:paraId="307CA5F4">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100万（含）-1000万</w:t>
            </w:r>
          </w:p>
        </w:tc>
        <w:tc>
          <w:tcPr>
            <w:tcW w:w="2509" w:type="dxa"/>
            <w:vAlign w:val="center"/>
          </w:tcPr>
          <w:p w14:paraId="7CFA2C7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中等影响，不可控排放</w:t>
            </w:r>
          </w:p>
        </w:tc>
      </w:tr>
      <w:tr w14:paraId="470CB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44050F1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三</w:t>
            </w:r>
          </w:p>
        </w:tc>
        <w:tc>
          <w:tcPr>
            <w:tcW w:w="851" w:type="dxa"/>
          </w:tcPr>
          <w:p w14:paraId="64F774A5">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一般</w:t>
            </w:r>
          </w:p>
        </w:tc>
        <w:tc>
          <w:tcPr>
            <w:tcW w:w="1842" w:type="dxa"/>
            <w:vAlign w:val="center"/>
          </w:tcPr>
          <w:p w14:paraId="53E73DA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1人永久失能</w:t>
            </w:r>
          </w:p>
        </w:tc>
        <w:tc>
          <w:tcPr>
            <w:tcW w:w="1510" w:type="dxa"/>
            <w:vAlign w:val="center"/>
          </w:tcPr>
          <w:p w14:paraId="1B251E7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1人患职业病</w:t>
            </w:r>
          </w:p>
        </w:tc>
        <w:tc>
          <w:tcPr>
            <w:tcW w:w="1510" w:type="dxa"/>
            <w:vAlign w:val="center"/>
          </w:tcPr>
          <w:p w14:paraId="5004CC48">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10万（含）-100万</w:t>
            </w:r>
          </w:p>
        </w:tc>
        <w:tc>
          <w:tcPr>
            <w:tcW w:w="2509" w:type="dxa"/>
            <w:vAlign w:val="center"/>
          </w:tcPr>
          <w:p w14:paraId="2E08121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较轻影响，不可控排放</w:t>
            </w:r>
          </w:p>
        </w:tc>
      </w:tr>
      <w:tr w14:paraId="64B8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BF0E88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四</w:t>
            </w:r>
          </w:p>
        </w:tc>
        <w:tc>
          <w:tcPr>
            <w:tcW w:w="851" w:type="dxa"/>
          </w:tcPr>
          <w:p w14:paraId="7862EC6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轻微</w:t>
            </w:r>
          </w:p>
        </w:tc>
        <w:tc>
          <w:tcPr>
            <w:tcW w:w="1842" w:type="dxa"/>
            <w:vAlign w:val="center"/>
          </w:tcPr>
          <w:p w14:paraId="1CBFA37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需医院治疗，缺工</w:t>
            </w:r>
          </w:p>
        </w:tc>
        <w:tc>
          <w:tcPr>
            <w:tcW w:w="1510" w:type="dxa"/>
            <w:vAlign w:val="center"/>
          </w:tcPr>
          <w:p w14:paraId="042CDDB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职业性多发病</w:t>
            </w:r>
          </w:p>
        </w:tc>
        <w:tc>
          <w:tcPr>
            <w:tcW w:w="1510" w:type="dxa"/>
            <w:vAlign w:val="center"/>
          </w:tcPr>
          <w:p w14:paraId="16417B7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＜10万</w:t>
            </w:r>
          </w:p>
        </w:tc>
        <w:tc>
          <w:tcPr>
            <w:tcW w:w="2509" w:type="dxa"/>
            <w:vAlign w:val="center"/>
          </w:tcPr>
          <w:p w14:paraId="0F863F0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局部影响，可控排放</w:t>
            </w:r>
          </w:p>
        </w:tc>
      </w:tr>
    </w:tbl>
    <w:p w14:paraId="6C29B772">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表6  后果严重程度</w:t>
      </w:r>
    </w:p>
    <w:p w14:paraId="06B59121">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  发生可能性</w:t>
      </w:r>
    </w:p>
    <w:p w14:paraId="50E2CEB8">
      <w:pPr>
        <w:pStyle w:val="6"/>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根据危险事件发生的频繁程度，将危险事件发生的可能性定性地分为五级，见表7。</w:t>
      </w:r>
    </w:p>
    <w:tbl>
      <w:tblPr>
        <w:tblStyle w:val="15"/>
        <w:tblW w:w="90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9"/>
        <w:gridCol w:w="1010"/>
        <w:gridCol w:w="3732"/>
        <w:gridCol w:w="3286"/>
      </w:tblGrid>
      <w:tr w14:paraId="2165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999" w:type="dxa"/>
          </w:tcPr>
          <w:p w14:paraId="54EC821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级别</w:t>
            </w:r>
          </w:p>
        </w:tc>
        <w:tc>
          <w:tcPr>
            <w:tcW w:w="1010" w:type="dxa"/>
          </w:tcPr>
          <w:p w14:paraId="7AB89C8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可能性</w:t>
            </w:r>
          </w:p>
        </w:tc>
        <w:tc>
          <w:tcPr>
            <w:tcW w:w="3732" w:type="dxa"/>
          </w:tcPr>
          <w:p w14:paraId="21BB7C0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E</w:t>
            </w:r>
            <w:r>
              <w:rPr>
                <w:rFonts w:hint="eastAsia" w:ascii="仿宋_GB2312" w:hAnsi="仿宋_GB2312" w:eastAsia="仿宋_GB2312" w:cs="仿宋_GB2312"/>
                <w:kern w:val="0"/>
                <w:szCs w:val="21"/>
                <w:vertAlign w:val="subscript"/>
              </w:rPr>
              <w:t>1</w:t>
            </w:r>
            <w:r>
              <w:rPr>
                <w:rFonts w:hint="eastAsia" w:ascii="仿宋_GB2312" w:hAnsi="仿宋_GB2312" w:eastAsia="仿宋_GB2312" w:cs="仿宋_GB2312"/>
                <w:kern w:val="0"/>
                <w:szCs w:val="21"/>
              </w:rPr>
              <w:t>（人身伤害和职业相关病症）：</w:t>
            </w:r>
          </w:p>
          <w:p w14:paraId="637CA23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人体暴露于危险状态的频繁程度</w:t>
            </w:r>
          </w:p>
        </w:tc>
        <w:tc>
          <w:tcPr>
            <w:tcW w:w="3286" w:type="dxa"/>
          </w:tcPr>
          <w:p w14:paraId="14EC4A3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E</w:t>
            </w:r>
            <w:r>
              <w:rPr>
                <w:rFonts w:hint="eastAsia" w:ascii="仿宋_GB2312" w:hAnsi="仿宋_GB2312" w:eastAsia="仿宋_GB2312" w:cs="仿宋_GB2312"/>
                <w:kern w:val="0"/>
                <w:szCs w:val="21"/>
                <w:vertAlign w:val="subscript"/>
              </w:rPr>
              <w:t>2</w:t>
            </w:r>
            <w:r>
              <w:rPr>
                <w:rFonts w:hint="eastAsia" w:ascii="仿宋_GB2312" w:hAnsi="仿宋_GB2312" w:eastAsia="仿宋_GB2312" w:cs="仿宋_GB2312"/>
                <w:kern w:val="0"/>
                <w:szCs w:val="21"/>
              </w:rPr>
              <w:t>（财产损失和环境污染）：</w:t>
            </w:r>
          </w:p>
          <w:p w14:paraId="4A51E87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危险状态出现的频次</w:t>
            </w:r>
          </w:p>
        </w:tc>
      </w:tr>
      <w:tr w14:paraId="174C0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trPr>
        <w:tc>
          <w:tcPr>
            <w:tcW w:w="999" w:type="dxa"/>
          </w:tcPr>
          <w:p w14:paraId="7929105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w:t>
            </w:r>
          </w:p>
        </w:tc>
        <w:tc>
          <w:tcPr>
            <w:tcW w:w="1010" w:type="dxa"/>
            <w:vAlign w:val="center"/>
          </w:tcPr>
          <w:p w14:paraId="7DBDD94C">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频繁</w:t>
            </w:r>
          </w:p>
        </w:tc>
        <w:tc>
          <w:tcPr>
            <w:tcW w:w="3732" w:type="dxa"/>
          </w:tcPr>
          <w:p w14:paraId="7FA8B2A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每天工作时间内暴露</w:t>
            </w:r>
          </w:p>
          <w:p w14:paraId="36E0D4B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（工作时间内暴露一至几次）</w:t>
            </w:r>
          </w:p>
        </w:tc>
        <w:tc>
          <w:tcPr>
            <w:tcW w:w="3286" w:type="dxa"/>
          </w:tcPr>
          <w:p w14:paraId="3BAA0758">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每天工作时间出现（危险状态出现一至几次）</w:t>
            </w:r>
          </w:p>
        </w:tc>
      </w:tr>
      <w:tr w14:paraId="0B9F0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999" w:type="dxa"/>
          </w:tcPr>
          <w:p w14:paraId="4A8DE59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二</w:t>
            </w:r>
          </w:p>
        </w:tc>
        <w:tc>
          <w:tcPr>
            <w:tcW w:w="1010" w:type="dxa"/>
            <w:vAlign w:val="center"/>
          </w:tcPr>
          <w:p w14:paraId="63B48390">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很可能</w:t>
            </w:r>
          </w:p>
        </w:tc>
        <w:tc>
          <w:tcPr>
            <w:tcW w:w="3732" w:type="dxa"/>
          </w:tcPr>
          <w:p w14:paraId="42DCFE7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每周一次，或偶然暴露</w:t>
            </w:r>
          </w:p>
        </w:tc>
        <w:tc>
          <w:tcPr>
            <w:tcW w:w="3286" w:type="dxa"/>
          </w:tcPr>
          <w:p w14:paraId="7AB8A07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每周一次，或偶然出现</w:t>
            </w:r>
          </w:p>
        </w:tc>
      </w:tr>
      <w:tr w14:paraId="31024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999" w:type="dxa"/>
          </w:tcPr>
          <w:p w14:paraId="286054AB">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三</w:t>
            </w:r>
          </w:p>
        </w:tc>
        <w:tc>
          <w:tcPr>
            <w:tcW w:w="1010" w:type="dxa"/>
            <w:vAlign w:val="center"/>
          </w:tcPr>
          <w:p w14:paraId="2A5683DF">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有时</w:t>
            </w:r>
          </w:p>
        </w:tc>
        <w:tc>
          <w:tcPr>
            <w:tcW w:w="3732" w:type="dxa"/>
          </w:tcPr>
          <w:p w14:paraId="577DBA6E">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每月一次暴露</w:t>
            </w:r>
          </w:p>
        </w:tc>
        <w:tc>
          <w:tcPr>
            <w:tcW w:w="3286" w:type="dxa"/>
          </w:tcPr>
          <w:p w14:paraId="08B4292F">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每月一次出现</w:t>
            </w:r>
          </w:p>
        </w:tc>
      </w:tr>
      <w:tr w14:paraId="41B57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999" w:type="dxa"/>
          </w:tcPr>
          <w:p w14:paraId="7134AC64">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四</w:t>
            </w:r>
          </w:p>
        </w:tc>
        <w:tc>
          <w:tcPr>
            <w:tcW w:w="1010" w:type="dxa"/>
            <w:vAlign w:val="center"/>
          </w:tcPr>
          <w:p w14:paraId="0FC79568">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极少</w:t>
            </w:r>
          </w:p>
        </w:tc>
        <w:tc>
          <w:tcPr>
            <w:tcW w:w="3732" w:type="dxa"/>
          </w:tcPr>
          <w:p w14:paraId="505C2D81">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每年几次暴露</w:t>
            </w:r>
          </w:p>
        </w:tc>
        <w:tc>
          <w:tcPr>
            <w:tcW w:w="3286" w:type="dxa"/>
          </w:tcPr>
          <w:p w14:paraId="2666AA49">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每年几次出现</w:t>
            </w:r>
          </w:p>
        </w:tc>
      </w:tr>
      <w:tr w14:paraId="3EDD2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999" w:type="dxa"/>
          </w:tcPr>
          <w:p w14:paraId="49F8F51C">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五</w:t>
            </w:r>
          </w:p>
        </w:tc>
        <w:tc>
          <w:tcPr>
            <w:tcW w:w="1010" w:type="dxa"/>
            <w:vAlign w:val="center"/>
          </w:tcPr>
          <w:p w14:paraId="3B02BD8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不可能</w:t>
            </w:r>
          </w:p>
        </w:tc>
        <w:tc>
          <w:tcPr>
            <w:tcW w:w="3732" w:type="dxa"/>
          </w:tcPr>
          <w:p w14:paraId="7E6777A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更少的暴露</w:t>
            </w:r>
          </w:p>
        </w:tc>
        <w:tc>
          <w:tcPr>
            <w:tcW w:w="3286" w:type="dxa"/>
          </w:tcPr>
          <w:p w14:paraId="2DCC60AD">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更少的出现</w:t>
            </w:r>
          </w:p>
        </w:tc>
      </w:tr>
    </w:tbl>
    <w:p w14:paraId="2D697B11">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表7  后果严重程度</w:t>
      </w:r>
    </w:p>
    <w:p w14:paraId="65CC677D">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  风险矩阵</w:t>
      </w:r>
    </w:p>
    <w:p w14:paraId="6ACD74B7">
      <w:pPr>
        <w:pStyle w:val="6"/>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根据危险严重性和可能性等级制成矩阵并分别给以定性的加权指数，形成风险评价指数矩阵，见表8。</w:t>
      </w:r>
    </w:p>
    <w:p w14:paraId="52A5438C">
      <w:pPr>
        <w:pStyle w:val="6"/>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矩阵中的加权指数称为风险评估指数，指数1到20是根据危险事件可能性和严重性水平综合而确定的，通常将最高风险指数定为1，相对应于危险事件是频繁发生的并是有灾难性的后果的。最低风险指数20，对应于危险事件几乎不可能发生并且后果是轻微的。</w:t>
      </w:r>
    </w:p>
    <w:tbl>
      <w:tblPr>
        <w:tblStyle w:val="15"/>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713"/>
        <w:gridCol w:w="1523"/>
        <w:gridCol w:w="1713"/>
        <w:gridCol w:w="1713"/>
      </w:tblGrid>
      <w:tr w14:paraId="657F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903" w:type="dxa"/>
            <w:tcBorders>
              <w:tl2br w:val="single" w:color="auto" w:sz="4" w:space="0"/>
            </w:tcBorders>
            <w:vAlign w:val="center"/>
          </w:tcPr>
          <w:p w14:paraId="2E0D97E2">
            <w:pPr>
              <w:ind w:firstLine="813" w:firstLineChars="450"/>
              <w:jc w:val="left"/>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伤害后果</w:t>
            </w:r>
          </w:p>
          <w:p w14:paraId="29C6C0A6">
            <w:pP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可能性</w:t>
            </w:r>
          </w:p>
        </w:tc>
        <w:tc>
          <w:tcPr>
            <w:tcW w:w="1713" w:type="dxa"/>
            <w:vAlign w:val="center"/>
          </w:tcPr>
          <w:p w14:paraId="1A4FFCDD">
            <w:pPr>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重大</w:t>
            </w:r>
          </w:p>
        </w:tc>
        <w:tc>
          <w:tcPr>
            <w:tcW w:w="1523" w:type="dxa"/>
            <w:vAlign w:val="center"/>
          </w:tcPr>
          <w:p w14:paraId="30722345">
            <w:pPr>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严重</w:t>
            </w:r>
          </w:p>
        </w:tc>
        <w:tc>
          <w:tcPr>
            <w:tcW w:w="1713" w:type="dxa"/>
            <w:vAlign w:val="center"/>
          </w:tcPr>
          <w:p w14:paraId="05BB1603">
            <w:pPr>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一般</w:t>
            </w:r>
          </w:p>
        </w:tc>
        <w:tc>
          <w:tcPr>
            <w:tcW w:w="1713" w:type="dxa"/>
            <w:vAlign w:val="center"/>
          </w:tcPr>
          <w:p w14:paraId="67AC7300">
            <w:pPr>
              <w:jc w:val="center"/>
              <w:rPr>
                <w:rFonts w:hint="eastAsia" w:ascii="仿宋_GB2312" w:hAnsi="仿宋_GB2312" w:eastAsia="仿宋_GB2312" w:cs="仿宋_GB2312"/>
                <w:b/>
                <w:sz w:val="18"/>
                <w:szCs w:val="18"/>
              </w:rPr>
            </w:pPr>
            <w:r>
              <w:rPr>
                <w:rFonts w:hint="eastAsia" w:ascii="仿宋_GB2312" w:hAnsi="仿宋_GB2312" w:eastAsia="仿宋_GB2312" w:cs="仿宋_GB2312"/>
                <w:b/>
                <w:sz w:val="18"/>
                <w:szCs w:val="18"/>
              </w:rPr>
              <w:t>轻微</w:t>
            </w:r>
          </w:p>
        </w:tc>
      </w:tr>
      <w:tr w14:paraId="5CF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903" w:type="dxa"/>
            <w:vAlign w:val="center"/>
          </w:tcPr>
          <w:p w14:paraId="6FA9B75F">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频繁</w:t>
            </w:r>
          </w:p>
        </w:tc>
        <w:tc>
          <w:tcPr>
            <w:tcW w:w="1713" w:type="dxa"/>
            <w:vAlign w:val="center"/>
          </w:tcPr>
          <w:p w14:paraId="2DEFC4A6">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w:t>
            </w:r>
          </w:p>
        </w:tc>
        <w:tc>
          <w:tcPr>
            <w:tcW w:w="1523" w:type="dxa"/>
            <w:vAlign w:val="center"/>
          </w:tcPr>
          <w:p w14:paraId="7B21D394">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1713" w:type="dxa"/>
            <w:vAlign w:val="center"/>
          </w:tcPr>
          <w:p w14:paraId="571E3DC2">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1713" w:type="dxa"/>
            <w:vAlign w:val="center"/>
          </w:tcPr>
          <w:p w14:paraId="329A939F">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7</w:t>
            </w:r>
          </w:p>
        </w:tc>
      </w:tr>
      <w:tr w14:paraId="1B1F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03" w:type="dxa"/>
            <w:vAlign w:val="center"/>
          </w:tcPr>
          <w:p w14:paraId="650758C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很可能</w:t>
            </w:r>
          </w:p>
        </w:tc>
        <w:tc>
          <w:tcPr>
            <w:tcW w:w="1713" w:type="dxa"/>
            <w:vAlign w:val="center"/>
          </w:tcPr>
          <w:p w14:paraId="0260F2E3">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w:t>
            </w:r>
          </w:p>
        </w:tc>
        <w:tc>
          <w:tcPr>
            <w:tcW w:w="1523" w:type="dxa"/>
            <w:vAlign w:val="center"/>
          </w:tcPr>
          <w:p w14:paraId="56F2A58B">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1713" w:type="dxa"/>
            <w:vAlign w:val="center"/>
          </w:tcPr>
          <w:p w14:paraId="47E1C944">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1713" w:type="dxa"/>
            <w:vAlign w:val="center"/>
          </w:tcPr>
          <w:p w14:paraId="5775D606">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8</w:t>
            </w:r>
          </w:p>
        </w:tc>
      </w:tr>
      <w:tr w14:paraId="79A8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903" w:type="dxa"/>
            <w:vAlign w:val="center"/>
          </w:tcPr>
          <w:p w14:paraId="6A69C10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有时</w:t>
            </w:r>
          </w:p>
        </w:tc>
        <w:tc>
          <w:tcPr>
            <w:tcW w:w="1713" w:type="dxa"/>
            <w:vAlign w:val="center"/>
          </w:tcPr>
          <w:p w14:paraId="4A7C8BAC">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3</w:t>
            </w:r>
          </w:p>
        </w:tc>
        <w:tc>
          <w:tcPr>
            <w:tcW w:w="1523" w:type="dxa"/>
            <w:vAlign w:val="center"/>
          </w:tcPr>
          <w:p w14:paraId="29AAA969">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1713" w:type="dxa"/>
            <w:vAlign w:val="center"/>
          </w:tcPr>
          <w:p w14:paraId="449A3C94">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9</w:t>
            </w:r>
          </w:p>
        </w:tc>
        <w:tc>
          <w:tcPr>
            <w:tcW w:w="1713" w:type="dxa"/>
            <w:vAlign w:val="center"/>
          </w:tcPr>
          <w:p w14:paraId="14D4E97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13</w:t>
            </w:r>
          </w:p>
        </w:tc>
      </w:tr>
      <w:tr w14:paraId="213B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903" w:type="dxa"/>
            <w:vAlign w:val="center"/>
          </w:tcPr>
          <w:p w14:paraId="6D3C79BC">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极少</w:t>
            </w:r>
          </w:p>
        </w:tc>
        <w:tc>
          <w:tcPr>
            <w:tcW w:w="1713" w:type="dxa"/>
            <w:vAlign w:val="center"/>
          </w:tcPr>
          <w:p w14:paraId="1A7C5231">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5</w:t>
            </w:r>
          </w:p>
        </w:tc>
        <w:tc>
          <w:tcPr>
            <w:tcW w:w="1523" w:type="dxa"/>
            <w:vAlign w:val="center"/>
          </w:tcPr>
          <w:p w14:paraId="7EF222F2">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8</w:t>
            </w:r>
          </w:p>
        </w:tc>
        <w:tc>
          <w:tcPr>
            <w:tcW w:w="1713" w:type="dxa"/>
            <w:vAlign w:val="center"/>
          </w:tcPr>
          <w:p w14:paraId="19351B05">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12</w:t>
            </w:r>
          </w:p>
        </w:tc>
        <w:tc>
          <w:tcPr>
            <w:tcW w:w="1713" w:type="dxa"/>
            <w:vAlign w:val="center"/>
          </w:tcPr>
          <w:p w14:paraId="4088789E">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16</w:t>
            </w:r>
          </w:p>
        </w:tc>
      </w:tr>
      <w:tr w14:paraId="27C3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903" w:type="dxa"/>
            <w:vAlign w:val="center"/>
          </w:tcPr>
          <w:p w14:paraId="2FFFBFB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不可能</w:t>
            </w:r>
          </w:p>
        </w:tc>
        <w:tc>
          <w:tcPr>
            <w:tcW w:w="1713" w:type="dxa"/>
            <w:vAlign w:val="center"/>
          </w:tcPr>
          <w:p w14:paraId="30B378EC">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12</w:t>
            </w:r>
          </w:p>
        </w:tc>
        <w:tc>
          <w:tcPr>
            <w:tcW w:w="1523" w:type="dxa"/>
            <w:vAlign w:val="center"/>
          </w:tcPr>
          <w:p w14:paraId="598672BF">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15</w:t>
            </w:r>
          </w:p>
        </w:tc>
        <w:tc>
          <w:tcPr>
            <w:tcW w:w="1713" w:type="dxa"/>
            <w:vAlign w:val="center"/>
          </w:tcPr>
          <w:p w14:paraId="0F457452">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17</w:t>
            </w:r>
          </w:p>
        </w:tc>
        <w:tc>
          <w:tcPr>
            <w:tcW w:w="1713" w:type="dxa"/>
            <w:vAlign w:val="center"/>
          </w:tcPr>
          <w:p w14:paraId="2B341EEE">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20</w:t>
            </w:r>
          </w:p>
        </w:tc>
      </w:tr>
    </w:tbl>
    <w:p w14:paraId="312AED65">
      <w:pPr>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表8  风险性指数矩阵表</w:t>
      </w:r>
    </w:p>
    <w:p w14:paraId="6A1D20A0">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  风险等级</w:t>
      </w:r>
    </w:p>
    <w:p w14:paraId="5E09E290">
      <w:pPr>
        <w:pStyle w:val="6"/>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矩阵中的指数给出四种不同类别的决策结果，将风险等级划分为四级，见表9。</w:t>
      </w:r>
    </w:p>
    <w:tbl>
      <w:tblPr>
        <w:tblStyle w:val="15"/>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2"/>
        <w:gridCol w:w="4801"/>
      </w:tblGrid>
      <w:tr w14:paraId="0F1F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782" w:type="dxa"/>
            <w:vAlign w:val="center"/>
          </w:tcPr>
          <w:p w14:paraId="2B5B6795">
            <w:pPr>
              <w:ind w:firstLine="270" w:firstLineChars="15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分值</w:t>
            </w:r>
          </w:p>
        </w:tc>
        <w:tc>
          <w:tcPr>
            <w:tcW w:w="4801" w:type="dxa"/>
            <w:vAlign w:val="center"/>
          </w:tcPr>
          <w:p w14:paraId="7F776A6D">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风险程度（等级）</w:t>
            </w:r>
          </w:p>
        </w:tc>
      </w:tr>
      <w:tr w14:paraId="679B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2" w:type="dxa"/>
            <w:vAlign w:val="center"/>
          </w:tcPr>
          <w:p w14:paraId="7B418FD8">
            <w:pPr>
              <w:ind w:firstLine="270" w:firstLineChars="15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1-5分</w:t>
            </w:r>
          </w:p>
        </w:tc>
        <w:tc>
          <w:tcPr>
            <w:tcW w:w="4801" w:type="dxa"/>
            <w:vAlign w:val="center"/>
          </w:tcPr>
          <w:p w14:paraId="778E0547">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一级</w:t>
            </w:r>
          </w:p>
        </w:tc>
      </w:tr>
      <w:tr w14:paraId="6CE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82" w:type="dxa"/>
            <w:vAlign w:val="center"/>
          </w:tcPr>
          <w:p w14:paraId="48F535DA">
            <w:pPr>
              <w:ind w:firstLine="270" w:firstLineChars="15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6-10分</w:t>
            </w:r>
          </w:p>
        </w:tc>
        <w:tc>
          <w:tcPr>
            <w:tcW w:w="4801" w:type="dxa"/>
            <w:vAlign w:val="center"/>
          </w:tcPr>
          <w:p w14:paraId="6C0248E3">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二级</w:t>
            </w:r>
          </w:p>
        </w:tc>
      </w:tr>
      <w:tr w14:paraId="73BC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82" w:type="dxa"/>
            <w:vAlign w:val="center"/>
          </w:tcPr>
          <w:p w14:paraId="5DE33FBA">
            <w:pPr>
              <w:ind w:firstLine="270" w:firstLineChars="15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11-15分</w:t>
            </w:r>
          </w:p>
        </w:tc>
        <w:tc>
          <w:tcPr>
            <w:tcW w:w="4801" w:type="dxa"/>
            <w:vAlign w:val="center"/>
          </w:tcPr>
          <w:p w14:paraId="1A9C8329">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三级</w:t>
            </w:r>
          </w:p>
        </w:tc>
      </w:tr>
      <w:tr w14:paraId="32C1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2" w:type="dxa"/>
            <w:vAlign w:val="center"/>
          </w:tcPr>
          <w:p w14:paraId="03DE668D">
            <w:pPr>
              <w:ind w:firstLine="270" w:firstLineChars="150"/>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16-20分</w:t>
            </w:r>
          </w:p>
        </w:tc>
        <w:tc>
          <w:tcPr>
            <w:tcW w:w="4801" w:type="dxa"/>
            <w:vAlign w:val="center"/>
          </w:tcPr>
          <w:p w14:paraId="0B235E8B">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四级</w:t>
            </w:r>
          </w:p>
        </w:tc>
      </w:tr>
    </w:tbl>
    <w:p w14:paraId="12B7ECC5">
      <w:pPr>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表9  风险等级表</w:t>
      </w:r>
    </w:p>
    <w:p w14:paraId="401E785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作业条件危险性评价法（LEC）</w:t>
      </w:r>
    </w:p>
    <w:p w14:paraId="6A29D7B6">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事故发生的可能性（L）</w:t>
      </w:r>
    </w:p>
    <w:p w14:paraId="51E4A87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用概率来表示事故发生的可能性大小（L）时，绝对不可能发生的事故概率为0；而必然发生的事故概率为1。然而，从系统安全角度考虑，绝对不发生事故是不可能的，所以人为地将发生事故可能性极小的分数定为0.1，而必然要发生的事故的分数定为10，介于这两种情况之间的情况指定为若干中间值，如表10。</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494"/>
        <w:gridCol w:w="236"/>
        <w:gridCol w:w="1459"/>
        <w:gridCol w:w="2639"/>
      </w:tblGrid>
      <w:tr w14:paraId="1579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4" w:type="dxa"/>
            <w:vAlign w:val="center"/>
          </w:tcPr>
          <w:p w14:paraId="143D0F2D">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2494" w:type="dxa"/>
            <w:vAlign w:val="center"/>
          </w:tcPr>
          <w:p w14:paraId="6FEDA131">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事故发生的可能性</w:t>
            </w:r>
          </w:p>
        </w:tc>
        <w:tc>
          <w:tcPr>
            <w:tcW w:w="236" w:type="dxa"/>
            <w:vMerge w:val="restart"/>
            <w:vAlign w:val="center"/>
          </w:tcPr>
          <w:p w14:paraId="32537627">
            <w:pPr>
              <w:adjustRightInd w:val="0"/>
              <w:snapToGrid w:val="0"/>
              <w:jc w:val="left"/>
              <w:rPr>
                <w:rFonts w:hint="eastAsia" w:ascii="仿宋_GB2312" w:hAnsi="仿宋_GB2312" w:eastAsia="仿宋_GB2312" w:cs="仿宋_GB2312"/>
                <w:sz w:val="24"/>
                <w:szCs w:val="24"/>
              </w:rPr>
            </w:pPr>
          </w:p>
        </w:tc>
        <w:tc>
          <w:tcPr>
            <w:tcW w:w="1459" w:type="dxa"/>
            <w:vAlign w:val="center"/>
          </w:tcPr>
          <w:p w14:paraId="4884932A">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2639" w:type="dxa"/>
            <w:vAlign w:val="center"/>
          </w:tcPr>
          <w:p w14:paraId="13EC442F">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事故发生的可能性</w:t>
            </w:r>
          </w:p>
        </w:tc>
      </w:tr>
      <w:tr w14:paraId="0F6E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4" w:type="dxa"/>
            <w:vAlign w:val="center"/>
          </w:tcPr>
          <w:p w14:paraId="26164DA3">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14:paraId="2C7B7555">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p w14:paraId="33593538">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p w14:paraId="5A0FE7A3">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494" w:type="dxa"/>
            <w:vAlign w:val="center"/>
          </w:tcPr>
          <w:p w14:paraId="01953EE6">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完全可能预料</w:t>
            </w:r>
          </w:p>
          <w:p w14:paraId="00E4BE3D">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相当可能</w:t>
            </w:r>
          </w:p>
          <w:p w14:paraId="3BB0D719">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可能，但不经常</w:t>
            </w:r>
          </w:p>
          <w:p w14:paraId="27FEE3B3">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可能性小，完全意外</w:t>
            </w:r>
          </w:p>
        </w:tc>
        <w:tc>
          <w:tcPr>
            <w:tcW w:w="236" w:type="dxa"/>
            <w:vMerge w:val="continue"/>
            <w:vAlign w:val="center"/>
          </w:tcPr>
          <w:p w14:paraId="424CE174">
            <w:pPr>
              <w:adjustRightInd w:val="0"/>
              <w:snapToGrid w:val="0"/>
              <w:jc w:val="left"/>
              <w:rPr>
                <w:rFonts w:hint="eastAsia" w:ascii="仿宋_GB2312" w:hAnsi="仿宋_GB2312" w:eastAsia="仿宋_GB2312" w:cs="仿宋_GB2312"/>
                <w:sz w:val="24"/>
                <w:szCs w:val="24"/>
              </w:rPr>
            </w:pPr>
          </w:p>
        </w:tc>
        <w:tc>
          <w:tcPr>
            <w:tcW w:w="1459" w:type="dxa"/>
            <w:vAlign w:val="center"/>
          </w:tcPr>
          <w:p w14:paraId="0FC6A0DF">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w:t>
            </w:r>
          </w:p>
          <w:p w14:paraId="3FC5FE04">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0.2</w:t>
            </w:r>
          </w:p>
          <w:p w14:paraId="3EE0DF2B">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0.1</w:t>
            </w:r>
          </w:p>
        </w:tc>
        <w:tc>
          <w:tcPr>
            <w:tcW w:w="2639" w:type="dxa"/>
            <w:vAlign w:val="center"/>
          </w:tcPr>
          <w:p w14:paraId="1551D597">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很不可能，可能设想</w:t>
            </w:r>
          </w:p>
          <w:p w14:paraId="4EC45354">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极不可能</w:t>
            </w:r>
          </w:p>
          <w:p w14:paraId="552171FA">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实际不可能</w:t>
            </w:r>
          </w:p>
        </w:tc>
      </w:tr>
    </w:tbl>
    <w:p w14:paraId="6D5189CD">
      <w:pPr>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rPr>
        <w:t>表10  事故发生的可能性（L）</w:t>
      </w:r>
    </w:p>
    <w:p w14:paraId="4B355456">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  暴露于危险填平的频繁程度（E）</w:t>
      </w:r>
    </w:p>
    <w:p w14:paraId="72D9A61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确定暴露于危险环境的频繁程度（E）时，人员出现在危险环境中的时间越多，则危险性越大，规定连续出现在危险环境的情况定为10，而非常罕见地出现在危险环境中定为0.5，介于两者之间的各种情况规定若干个中间值，如表11。</w:t>
      </w:r>
    </w:p>
    <w:p w14:paraId="254D56ED">
      <w:pPr>
        <w:adjustRightInd w:val="0"/>
        <w:snapToGrid w:val="0"/>
        <w:jc w:val="left"/>
        <w:rPr>
          <w:rFonts w:hint="eastAsia" w:ascii="仿宋_GB2312" w:hAnsi="仿宋_GB2312" w:eastAsia="仿宋_GB2312" w:cs="仿宋_GB2312"/>
          <w:szCs w:val="21"/>
        </w:rPr>
      </w:pP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2552"/>
        <w:gridCol w:w="236"/>
        <w:gridCol w:w="1428"/>
        <w:gridCol w:w="2614"/>
      </w:tblGrid>
      <w:tr w14:paraId="1F72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14:paraId="14D6FD84">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2552" w:type="dxa"/>
            <w:vAlign w:val="center"/>
          </w:tcPr>
          <w:p w14:paraId="5307517E">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频繁程度</w:t>
            </w:r>
          </w:p>
        </w:tc>
        <w:tc>
          <w:tcPr>
            <w:tcW w:w="236" w:type="dxa"/>
            <w:vMerge w:val="restart"/>
            <w:vAlign w:val="center"/>
          </w:tcPr>
          <w:p w14:paraId="05F2A98F">
            <w:pPr>
              <w:adjustRightInd w:val="0"/>
              <w:snapToGrid w:val="0"/>
              <w:jc w:val="left"/>
              <w:rPr>
                <w:rFonts w:hint="eastAsia" w:ascii="仿宋_GB2312" w:hAnsi="仿宋_GB2312" w:eastAsia="仿宋_GB2312" w:cs="仿宋_GB2312"/>
                <w:sz w:val="24"/>
                <w:szCs w:val="24"/>
              </w:rPr>
            </w:pPr>
          </w:p>
        </w:tc>
        <w:tc>
          <w:tcPr>
            <w:tcW w:w="1428" w:type="dxa"/>
            <w:vAlign w:val="center"/>
          </w:tcPr>
          <w:p w14:paraId="597B0D52">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2614" w:type="dxa"/>
            <w:vAlign w:val="center"/>
          </w:tcPr>
          <w:p w14:paraId="1EDD07C1">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频繁程度</w:t>
            </w:r>
          </w:p>
        </w:tc>
      </w:tr>
      <w:tr w14:paraId="4711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14:paraId="4C82E4D2">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p w14:paraId="3AF52325">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p w14:paraId="0D6A789C">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552" w:type="dxa"/>
            <w:vAlign w:val="center"/>
          </w:tcPr>
          <w:p w14:paraId="1803D41C">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连续暴露</w:t>
            </w:r>
          </w:p>
          <w:p w14:paraId="0B7988D3">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每天工作时间内暴露</w:t>
            </w:r>
          </w:p>
          <w:p w14:paraId="3797EB6D">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每周一次，或偶然暴露</w:t>
            </w:r>
          </w:p>
        </w:tc>
        <w:tc>
          <w:tcPr>
            <w:tcW w:w="236" w:type="dxa"/>
            <w:vMerge w:val="continue"/>
            <w:vAlign w:val="center"/>
          </w:tcPr>
          <w:p w14:paraId="31770D60">
            <w:pPr>
              <w:adjustRightInd w:val="0"/>
              <w:snapToGrid w:val="0"/>
              <w:jc w:val="left"/>
              <w:rPr>
                <w:rFonts w:hint="eastAsia" w:ascii="仿宋_GB2312" w:hAnsi="仿宋_GB2312" w:eastAsia="仿宋_GB2312" w:cs="仿宋_GB2312"/>
                <w:sz w:val="24"/>
                <w:szCs w:val="24"/>
              </w:rPr>
            </w:pPr>
          </w:p>
        </w:tc>
        <w:tc>
          <w:tcPr>
            <w:tcW w:w="1428" w:type="dxa"/>
            <w:vAlign w:val="center"/>
          </w:tcPr>
          <w:p w14:paraId="6B16802B">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p w14:paraId="63BC3C8C">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p w14:paraId="25B565B0">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0．5</w:t>
            </w:r>
          </w:p>
        </w:tc>
        <w:tc>
          <w:tcPr>
            <w:tcW w:w="2614" w:type="dxa"/>
            <w:vAlign w:val="center"/>
          </w:tcPr>
          <w:p w14:paraId="646DBDA6">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每月一次暴露</w:t>
            </w:r>
          </w:p>
          <w:p w14:paraId="415CA7FB">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每年几次暴露</w:t>
            </w:r>
          </w:p>
          <w:p w14:paraId="68462D61">
            <w:pPr>
              <w:adjustRightInd w:val="0"/>
              <w:snapToGrid w:val="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非常罕见地暴露</w:t>
            </w:r>
          </w:p>
        </w:tc>
      </w:tr>
    </w:tbl>
    <w:p w14:paraId="2D9084D0">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表11  暴露于危险填平的频繁程度（E）</w:t>
      </w:r>
    </w:p>
    <w:p w14:paraId="38D017C7">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  发生事故产生的后果（C）</w:t>
      </w:r>
    </w:p>
    <w:p w14:paraId="6BF033F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发生事故产生的后果（C），由于事故造成的人身伤害与财产损失变化范围很大，因此规定其分数值为1-100，把需要救护的轻微损伤或较小财产损失的分数规定为1，把造成多人死亡或重大财产损失的可能性分数规定为100，其他情况的数值均为1与100之间，如表12。</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388"/>
        <w:gridCol w:w="236"/>
        <w:gridCol w:w="1161"/>
        <w:gridCol w:w="3027"/>
      </w:tblGrid>
      <w:tr w14:paraId="66A6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tcPr>
          <w:p w14:paraId="182162A1">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2388" w:type="dxa"/>
          </w:tcPr>
          <w:p w14:paraId="2D628E5E">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后果</w:t>
            </w:r>
          </w:p>
        </w:tc>
        <w:tc>
          <w:tcPr>
            <w:tcW w:w="236" w:type="dxa"/>
          </w:tcPr>
          <w:p w14:paraId="7E347F8F">
            <w:pPr>
              <w:adjustRightInd w:val="0"/>
              <w:snapToGrid w:val="0"/>
              <w:jc w:val="center"/>
              <w:rPr>
                <w:rFonts w:hint="eastAsia" w:ascii="仿宋_GB2312" w:hAnsi="仿宋_GB2312" w:eastAsia="仿宋_GB2312" w:cs="仿宋_GB2312"/>
                <w:sz w:val="24"/>
                <w:szCs w:val="24"/>
              </w:rPr>
            </w:pPr>
          </w:p>
        </w:tc>
        <w:tc>
          <w:tcPr>
            <w:tcW w:w="1161" w:type="dxa"/>
          </w:tcPr>
          <w:p w14:paraId="76912743">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分数值</w:t>
            </w:r>
          </w:p>
        </w:tc>
        <w:tc>
          <w:tcPr>
            <w:tcW w:w="3027" w:type="dxa"/>
          </w:tcPr>
          <w:p w14:paraId="4218EE3D">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后果</w:t>
            </w:r>
          </w:p>
        </w:tc>
      </w:tr>
      <w:tr w14:paraId="1DA9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tcPr>
          <w:p w14:paraId="543CB757">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p w14:paraId="13F2452E">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p w14:paraId="3453839F">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2388" w:type="dxa"/>
          </w:tcPr>
          <w:p w14:paraId="31ECF194">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大灾难，许多人死亡</w:t>
            </w:r>
          </w:p>
          <w:p w14:paraId="30911E06">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灾难，数人死亡</w:t>
            </w:r>
          </w:p>
          <w:p w14:paraId="5C4EE2D0">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非常严重，一人死亡</w:t>
            </w:r>
          </w:p>
        </w:tc>
        <w:tc>
          <w:tcPr>
            <w:tcW w:w="236" w:type="dxa"/>
          </w:tcPr>
          <w:p w14:paraId="0173AFF5">
            <w:pPr>
              <w:adjustRightInd w:val="0"/>
              <w:snapToGrid w:val="0"/>
              <w:jc w:val="center"/>
              <w:rPr>
                <w:rFonts w:hint="eastAsia" w:ascii="仿宋_GB2312" w:hAnsi="仿宋_GB2312" w:eastAsia="仿宋_GB2312" w:cs="仿宋_GB2312"/>
                <w:sz w:val="24"/>
                <w:szCs w:val="24"/>
              </w:rPr>
            </w:pPr>
          </w:p>
        </w:tc>
        <w:tc>
          <w:tcPr>
            <w:tcW w:w="1161" w:type="dxa"/>
          </w:tcPr>
          <w:p w14:paraId="1556BB01">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p w14:paraId="244432C7">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p w14:paraId="697978F6">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027" w:type="dxa"/>
          </w:tcPr>
          <w:p w14:paraId="75239CD9">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重伤</w:t>
            </w:r>
          </w:p>
          <w:p w14:paraId="525D95DD">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轻伤</w:t>
            </w:r>
          </w:p>
          <w:p w14:paraId="2AA0B419">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引人关注，不利于基本的安全卫生要求</w:t>
            </w:r>
          </w:p>
        </w:tc>
      </w:tr>
    </w:tbl>
    <w:p w14:paraId="5903B5C3">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表12  发生事故产生的后果（C）</w:t>
      </w:r>
    </w:p>
    <w:p w14:paraId="09528D9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  风险等级划分</w:t>
      </w:r>
    </w:p>
    <w:p w14:paraId="28D6A3A4">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根据危险源辨识确定的危害及影响程度与危害及影响事件发生的可能性乘积确定风险的大小。 定量计算每一种危险源所带来的风险可采用如下方法： D=LEC。</w:t>
      </w:r>
    </w:p>
    <w:p w14:paraId="39FAD365">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式中：D——风险值</w:t>
      </w:r>
    </w:p>
    <w:p w14:paraId="1321F73F">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L——发生事故的可能性大小</w:t>
      </w:r>
    </w:p>
    <w:p w14:paraId="1EDDA38B">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E——暴露于危险环境的频繁程度</w:t>
      </w:r>
    </w:p>
    <w:p w14:paraId="7A01032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C——发生事故产生的后果</w:t>
      </w:r>
    </w:p>
    <w:p w14:paraId="2EB943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值D求出之后，关键是如何确定风险级别的界限值，而这个界限值并不是长期固定不变，在不同时期，组织应根据其具体情况来确定风险级别的界限值，以符合持续改进的思想。表13内容可作为确定风险级别界限值及其相应风险控制策划的参考。</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2827"/>
        <w:gridCol w:w="2827"/>
      </w:tblGrid>
      <w:tr w14:paraId="7C54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8" w:type="dxa"/>
            <w:vAlign w:val="center"/>
          </w:tcPr>
          <w:p w14:paraId="40A0A6C0">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D值</w:t>
            </w:r>
          </w:p>
        </w:tc>
        <w:tc>
          <w:tcPr>
            <w:tcW w:w="2827" w:type="dxa"/>
            <w:vAlign w:val="center"/>
          </w:tcPr>
          <w:p w14:paraId="44ACEF10">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危险程度</w:t>
            </w:r>
          </w:p>
        </w:tc>
        <w:tc>
          <w:tcPr>
            <w:tcW w:w="2827" w:type="dxa"/>
            <w:vAlign w:val="center"/>
          </w:tcPr>
          <w:p w14:paraId="541FAC73">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风险等级</w:t>
            </w:r>
          </w:p>
        </w:tc>
      </w:tr>
      <w:tr w14:paraId="7F62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8" w:type="dxa"/>
            <w:vAlign w:val="center"/>
          </w:tcPr>
          <w:p w14:paraId="0AC4A53C">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＞320</w:t>
            </w:r>
          </w:p>
        </w:tc>
        <w:tc>
          <w:tcPr>
            <w:tcW w:w="2827" w:type="dxa"/>
            <w:vAlign w:val="center"/>
          </w:tcPr>
          <w:p w14:paraId="3018EC86">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极度危险</w:t>
            </w:r>
          </w:p>
        </w:tc>
        <w:tc>
          <w:tcPr>
            <w:tcW w:w="2827" w:type="dxa"/>
            <w:vAlign w:val="center"/>
          </w:tcPr>
          <w:p w14:paraId="37E75A0C">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r>
      <w:tr w14:paraId="3022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8" w:type="dxa"/>
            <w:vAlign w:val="center"/>
          </w:tcPr>
          <w:p w14:paraId="7F63A478">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160～320</w:t>
            </w:r>
          </w:p>
        </w:tc>
        <w:tc>
          <w:tcPr>
            <w:tcW w:w="2827" w:type="dxa"/>
            <w:vAlign w:val="center"/>
          </w:tcPr>
          <w:p w14:paraId="5AA46B06">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高度危险</w:t>
            </w:r>
          </w:p>
        </w:tc>
        <w:tc>
          <w:tcPr>
            <w:tcW w:w="2827" w:type="dxa"/>
            <w:vAlign w:val="center"/>
          </w:tcPr>
          <w:p w14:paraId="6CA65150">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r>
      <w:tr w14:paraId="3BF8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8" w:type="dxa"/>
            <w:vAlign w:val="center"/>
          </w:tcPr>
          <w:p w14:paraId="608D905F">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70～160</w:t>
            </w:r>
          </w:p>
        </w:tc>
        <w:tc>
          <w:tcPr>
            <w:tcW w:w="2827" w:type="dxa"/>
            <w:vAlign w:val="center"/>
          </w:tcPr>
          <w:p w14:paraId="4D706591">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显著危险</w:t>
            </w:r>
          </w:p>
        </w:tc>
        <w:tc>
          <w:tcPr>
            <w:tcW w:w="2827" w:type="dxa"/>
            <w:vAlign w:val="center"/>
          </w:tcPr>
          <w:p w14:paraId="3DFDFCC2">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r>
      <w:tr w14:paraId="7A19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8" w:type="dxa"/>
            <w:vAlign w:val="center"/>
          </w:tcPr>
          <w:p w14:paraId="7599770F">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2827" w:type="dxa"/>
            <w:vAlign w:val="center"/>
          </w:tcPr>
          <w:p w14:paraId="4E366964">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一般危险</w:t>
            </w:r>
          </w:p>
        </w:tc>
        <w:tc>
          <w:tcPr>
            <w:tcW w:w="2827" w:type="dxa"/>
            <w:vAlign w:val="center"/>
          </w:tcPr>
          <w:p w14:paraId="0FD37A6F">
            <w:pPr>
              <w:adjustRightInd w:val="0"/>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r>
    </w:tbl>
    <w:p w14:paraId="57011AAD">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表13  风险等级划分</w:t>
      </w:r>
    </w:p>
    <w:p w14:paraId="653E61E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经验判断法</w:t>
      </w:r>
      <w:bookmarkEnd w:id="88"/>
    </w:p>
    <w:p w14:paraId="118A1E5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由安全委员会成员根据企业实际情况、管理现状、行业或企业重点关注内容，可直接确定危险源等级。</w:t>
      </w:r>
    </w:p>
    <w:p w14:paraId="03EEB687">
      <w:pPr>
        <w:rPr>
          <w:rFonts w:hint="eastAsia" w:ascii="仿宋_GB2312" w:hAnsi="仿宋_GB2312" w:eastAsia="仿宋_GB2312" w:cs="仿宋_GB2312"/>
          <w:sz w:val="28"/>
          <w:szCs w:val="28"/>
        </w:rPr>
      </w:pPr>
    </w:p>
    <w:p w14:paraId="0DA78B36">
      <w:pPr>
        <w:rPr>
          <w:rFonts w:hint="eastAsia" w:ascii="仿宋_GB2312" w:hAnsi="仿宋_GB2312" w:eastAsia="仿宋_GB2312" w:cs="仿宋_GB2312"/>
          <w:sz w:val="28"/>
          <w:szCs w:val="28"/>
        </w:rPr>
      </w:pPr>
    </w:p>
    <w:p w14:paraId="7435ECF8">
      <w:pPr>
        <w:rPr>
          <w:rFonts w:hint="eastAsia" w:ascii="仿宋_GB2312" w:hAnsi="仿宋_GB2312" w:eastAsia="仿宋_GB2312" w:cs="仿宋_GB2312"/>
          <w:sz w:val="28"/>
          <w:szCs w:val="28"/>
        </w:rPr>
      </w:pP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8EA1">
    <w:pPr>
      <w:pStyle w:val="9"/>
      <w:jc w:val="center"/>
    </w:pPr>
    <w:r>
      <w:fldChar w:fldCharType="begin"/>
    </w:r>
    <w:r>
      <w:instrText xml:space="preserve"> PAGE   \* MERGEFORMAT </w:instrText>
    </w:r>
    <w:r>
      <w:fldChar w:fldCharType="separate"/>
    </w:r>
    <w:r>
      <w:rPr>
        <w:lang w:val="zh-CN"/>
      </w:rPr>
      <w:t>36</w:t>
    </w:r>
    <w:r>
      <w:rPr>
        <w:lang w:val="zh-CN"/>
      </w:rPr>
      <w:fldChar w:fldCharType="end"/>
    </w:r>
  </w:p>
  <w:p w14:paraId="33B2AC7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717D0">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48362C9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8DCC3">
    <w:pPr>
      <w:pStyle w:val="10"/>
      <w:widowControl w:val="0"/>
      <w:pBdr>
        <w:top w:val="none" w:color="auto" w:sz="0" w:space="1"/>
        <w:left w:val="none" w:color="auto" w:sz="0" w:space="4"/>
        <w:bottom w:val="none" w:color="auto" w:sz="0" w:space="1"/>
        <w:right w:val="none" w:color="auto" w:sz="0" w:space="4"/>
        <w:between w:val="none" w:color="auto" w:sz="0" w:space="0"/>
      </w:pBdr>
      <w:snapToGrid w:val="0"/>
      <w:jc w:val="center"/>
      <w:rPr>
        <w:rFonts w:hint="eastAsia"/>
      </w:rPr>
    </w:pPr>
    <w:r>
      <w:rPr>
        <w:sz w:val="18"/>
      </w:rPr>
      <w:pict>
        <v:shape id="文本框 56" o:spid="_x0000_s2144" o:spt="202" type="#_x0000_t202" style="position:absolute;left:0pt;margin-left:-34.45pt;margin-top:-55.9pt;height:33.95pt;width:462.6pt;z-index:251661312;mso-width-relative:page;mso-height-relative:page;" fillcolor="#FFFFFF" filled="t" stroked="t" coordsize="21600,21600" o:gfxdata="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NzFl3Y&#10;AAAACgEAAA8AAAAAAAAAAQAgAAAAIgAAAGRycy9kb3ducmV2LnhtbFBLAQIUABQAAAAIAIdO4kDg&#10;ccJ5WQIAANcEAAAOAAAAAAAAAAEAIAAAACcBAABkcnMvZTJvRG9jLnhtbFBLBQYAAAAABgAGAFkB&#10;AADyBQAAAAA=&#10;">
          <v:path/>
          <v:fill type="gradient" on="t" color2="#FFFFFF" angle="90" focus="100%" focussize="0f,0f">
            <o:fill type="gradientUnscaled" v:ext="backwardCompatible"/>
          </v:fill>
          <v:stroke weight="1.25pt" color="#739CC3" joinstyle="miter"/>
          <v:imagedata o:title=""/>
          <o:lock v:ext="edit" aspectratio="f"/>
          <v:textbox>
            <w:txbxContent>
              <w:p w14:paraId="6DEBF3AB">
                <w:pPr>
                  <w:rPr>
                    <w:rFonts w:hint="default" w:eastAsia="宋体"/>
                    <w:b/>
                    <w:bCs/>
                    <w:sz w:val="28"/>
                    <w:szCs w:val="28"/>
                    <w:lang w:val="en-US" w:eastAsia="zh-CN"/>
                  </w:rPr>
                </w:pPr>
                <w:r>
                  <w:rPr>
                    <w:rFonts w:hint="eastAsia"/>
                    <w:b/>
                    <w:bCs/>
                    <w:sz w:val="28"/>
                    <w:szCs w:val="28"/>
                    <w:lang w:val="en-US" w:eastAsia="zh-CN"/>
                  </w:rPr>
                  <w:t xml:space="preserve">风险分级管控体系实施指南                          </w:t>
                </w:r>
              </w:p>
            </w:txbxContent>
          </v:textbox>
        </v:shape>
      </w:pict>
    </w:r>
    <w:r>
      <w:rPr>
        <w:sz w:val="18"/>
      </w:rPr>
      <w:pict>
        <v:group id="组合 41" o:spid="_x0000_s2113" o:spt="203" style="position:absolute;left:0pt;margin-left:-100.2pt;margin-top:-70.35pt;height:60.5pt;width:605.45pt;z-index:251659264;mso-width-relative:page;mso-height-relative:page;" coordorigin="12707,283" coordsize="11906,1210" o:gfxdata="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DKhxo&#10;2wAAAA0BAAAPAAAAAAAAAAEAIAAAACIAAABkcnMvZG93bnJldi54bWxQSwECFAAUAAAACACHTuJA&#10;jB8gRDwFAADgJwAADgAAAAAAAAABACAAAAAqAQAAZHJzL2Uyb0RvYy54bWxQSwUGAAAAAAYABgBZ&#10;AQAA2AgAAAAA&#10;">
          <o:lock v:ext="edit" aspectratio="f"/>
          <v:group id="组合 10" o:spid="_x0000_s2114" o:spt="203" style="position:absolute;left:23389;top:463;height:972;width:1224;rotation:11796480f;" coordorigin="867,277" coordsize="1224,972" o:gfxdata="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RBPJ70AAADbAAAADwAAAAAAAAABACAAAAAiAAAAZHJzL2Rvd25yZXYueG1s&#10;UEsBAhQAFAAAAAgAh07iQDMvBZ47AAAAOQAAABUAAAAAAAAAAQAgAAAADAEAAGRycy9ncm91cHNo&#10;YXBleG1sLnhtbFBLBQYAAAAABgAGAGABAADJAwAAAAA=&#10;">
            <o:lock v:ext="edit" aspectratio="f"/>
            <v:rect id="矩形 4" o:spid="_x0000_s2115" o:spt="1" style="position:absolute;left:867;top:277;height:973;width:351;v-text-anchor:middle;" fillcolor="#256475" filled="t" stroked="f" coordsize="21600,21600" o:gfxdata="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Sex+8AAAA&#10;2wAAAA8AAAAAAAAAAQAgAAAAIgAAAGRycy9kb3ducmV2LnhtbFBLAQIUABQAAAAIAIdO4kAzLwWe&#10;OwAAADkAAAAQAAAAAAAAAAEAIAAAAAsBAABkcnMvc2hhcGV4bWwueG1sUEsFBgAAAAAGAAYAWwEA&#10;ALUDAAAAAA==&#10;">
              <v:path/>
              <v:fill on="t" focussize="0,0"/>
              <v:stroke on="f" weight="2pt"/>
              <v:imagedata o:title=""/>
              <o:lock v:ext="edit" aspectratio="f"/>
            </v:rect>
            <v:rect id="矩形 5" o:spid="_x0000_s2116" o:spt="1" style="position:absolute;left:1326;top:277;height:973;width:261;v-text-anchor:middle;" fillcolor="#BEE1EB" filled="t" stroked="f" coordsize="21600,21600" o:gfxdata="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MVQ68AAAA&#10;2wAAAA8AAAAAAAAAAQAgAAAAIgAAAGRycy9kb3ducmV2LnhtbFBLAQIUABQAAAAIAIdO4kAzLwWe&#10;OwAAADkAAAAQAAAAAAAAAAEAIAAAAAsBAABkcnMvc2hhcGV4bWwueG1sUEsFBgAAAAAGAAYAWwEA&#10;ALUDAAAAAA==&#10;">
              <v:path/>
              <v:fill on="t" focussize="0,0"/>
              <v:stroke on="f" weight="2pt"/>
              <v:imagedata o:title=""/>
              <o:lock v:ext="edit" aspectratio="f"/>
            </v:rect>
            <v:rect id="矩形 6" o:spid="_x0000_s2117" o:spt="1" style="position:absolute;left:1695;top:277;height:973;width:168;v-text-anchor:middle;" fillcolor="#E2F2F6" filled="t" stroked="f" coordsize="21600,21600" o:gfxdata="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kAvt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7" o:spid="_x0000_s2118" o:spt="1" style="position:absolute;left:1971;top:277;height:973;width:120;v-text-anchor:middle;" fillcolor="#F8FCFD" filled="t" stroked="f" coordsize="21600,21600" o:gfxdata="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R5ai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v:group id="组合 15" o:spid="_x0000_s2119" o:spt="203" style="position:absolute;left:12707;top:283;height:1037;width:4590;" coordorigin="867,277" coordsize="4590,1037"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 o:spid="_x0000_s2120" o:spt="202" type="#_x0000_t202" style="position:absolute;left:2134;top:297;height:828;width:3323;"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path/>
              <v:fill on="f" focussize="0,0"/>
              <v:stroke on="f" weight="0.5pt"/>
              <v:imagedata o:title=""/>
              <o:lock v:ext="edit" aspectratio="f"/>
              <v:textbox>
                <w:txbxContent>
                  <w:p w14:paraId="33A65F0A">
                    <w:pPr>
                      <w:jc w:val="left"/>
                      <w:rPr>
                        <w:rFonts w:hint="default" w:ascii="微软雅黑" w:hAnsi="微软雅黑" w:eastAsia="微软雅黑" w:cs="微软雅黑"/>
                        <w:b/>
                        <w:bCs/>
                        <w:sz w:val="40"/>
                        <w:szCs w:val="48"/>
                        <w:lang w:val="en-US" w:eastAsia="zh-CN"/>
                      </w:rPr>
                    </w:pPr>
                  </w:p>
                </w:txbxContent>
              </v:textbox>
            </v:shape>
            <v:shape id="文本框 8" o:spid="_x0000_s2121" o:spt="202" type="#_x0000_t202" style="position:absolute;left:2198;top:830;height:484;width:2993;"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14:paraId="266E700C">
                    <w:pPr>
                      <w:jc w:val="distribute"/>
                      <w:rPr>
                        <w:rFonts w:hint="default" w:ascii="微软雅黑" w:hAnsi="微软雅黑" w:eastAsia="微软雅黑" w:cs="微软雅黑"/>
                        <w:b/>
                        <w:bCs/>
                        <w:color w:val="7E7E7E"/>
                        <w:sz w:val="20"/>
                        <w:szCs w:val="22"/>
                        <w:lang w:val="en-US" w:eastAsia="zh-CN"/>
                      </w:rPr>
                    </w:pPr>
                  </w:p>
                </w:txbxContent>
              </v:textbox>
            </v:shape>
            <v:group id="组合 9" o:spid="_x0000_s2122" o:spt="203" style="position:absolute;left:867;top:277;height:972;width:1224;" coordorigin="867,277" coordsize="1224,97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矩形 4" o:spid="_x0000_s2123" o:spt="1" style="position:absolute;left:867;top:277;height:973;width:351;v-text-anchor:middle;" fillcolor="#256475" filled="t" stroked="f" coordsize="21600,21600" o:gfxdata="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dYu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5" o:spid="_x0000_s2124" o:spt="1" style="position:absolute;left:1326;top:277;height:973;width:261;v-text-anchor:middle;" fillcolor="#BEE1EB" filled="t" stroked="f" coordsize="21600,21600" o:gfxdata="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D+P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6" o:spid="_x0000_s2125" o:spt="1" style="position:absolute;left:1695;top:277;height:973;width:168;v-text-anchor:middle;" fillcolor="#E2F2F6" filled="t" stroked="f" coordsize="21600,21600" o:gfxdata="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KDf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7" o:spid="_x0000_s2126" o:spt="1" style="position:absolute;left:1971;top:277;height:973;width:120;v-text-anchor:middle;" fillcolor="#F8FCFD" filled="t" stroked="f" coordsize="21600,21600" o:gfxdata="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SJm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v:group>
          <v:rect id="矩形 3" o:spid="_x0000_s2127" o:spt="1" style="position:absolute;left:12707;top:1437;height:57;width:11892;v-text-anchor:middle;" fillcolor="#256475" filled="t" stroked="f" coordsize="21600,21600" o:gfxdata="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u0C2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ABFE">
    <w:pPr>
      <w:pStyle w:val="10"/>
      <w:pBdr>
        <w:bottom w:val="none" w:color="auto" w:sz="0" w:space="0"/>
      </w:pBdr>
    </w:pPr>
    <w:r>
      <w:rPr>
        <w:sz w:val="18"/>
      </w:rPr>
      <w:pict>
        <v:shape id="_x0000_s2145" o:spid="_x0000_s2145" o:spt="202" type="#_x0000_t202" style="position:absolute;left:0pt;margin-left:-21.6pt;margin-top:-29.6pt;height:33.95pt;width:462.6pt;z-index:251662336;mso-width-relative:page;mso-height-relative:page;" fillcolor="#FFFFFF" filled="t" stroked="t" coordsize="21600,21600" o:gfxdata="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NzFl3Y&#10;AAAACgEAAA8AAAAAAAAAAQAgAAAAIgAAAGRycy9kb3ducmV2LnhtbFBLAQIUABQAAAAIAIdO4kDg&#10;ccJ5WQIAANcEAAAOAAAAAAAAAAEAIAAAACcBAABkcnMvZTJvRG9jLnhtbFBLBQYAAAAABgAGAFkB&#10;AADyBQAAAAA=&#10;">
          <v:path/>
          <v:fill type="gradient" on="t" color2="#FFFFFF" angle="90" focus="100%" focussize="0f,0f">
            <o:fill type="gradientUnscaled" v:ext="backwardCompatible"/>
          </v:fill>
          <v:stroke weight="1.25pt" color="#739CC3" joinstyle="miter"/>
          <v:imagedata o:title=""/>
          <o:lock v:ext="edit" aspectratio="f"/>
          <v:textbox>
            <w:txbxContent>
              <w:p w14:paraId="06DF84F6">
                <w:pPr>
                  <w:rPr>
                    <w:rFonts w:hint="default" w:eastAsia="宋体"/>
                    <w:b/>
                    <w:bCs/>
                    <w:sz w:val="28"/>
                    <w:szCs w:val="28"/>
                    <w:lang w:val="en-US" w:eastAsia="zh-CN"/>
                  </w:rPr>
                </w:pPr>
                <w:r>
                  <w:rPr>
                    <w:rFonts w:hint="eastAsia"/>
                    <w:b/>
                    <w:bCs/>
                    <w:sz w:val="28"/>
                    <w:szCs w:val="28"/>
                    <w:lang w:val="en-US" w:eastAsia="zh-CN"/>
                  </w:rPr>
                  <w:t xml:space="preserve">风险分级管控体系实施指南                          </w:t>
                </w:r>
              </w:p>
            </w:txbxContent>
          </v:textbox>
        </v:shape>
      </w:pict>
    </w:r>
    <w:r>
      <w:rPr>
        <w:sz w:val="18"/>
      </w:rPr>
      <w:pict>
        <v:group id="_x0000_s2128" o:spid="_x0000_s2128" o:spt="203" style="position:absolute;left:0pt;margin-left:-89.6pt;margin-top:-37.3pt;height:60.5pt;width:605.45pt;z-index:251660288;mso-width-relative:page;mso-height-relative:page;" coordorigin="12707,283" coordsize="11906,1210" o:gfxdata="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DDKhxo&#10;2wAAAA0BAAAPAAAAAAAAAAEAIAAAACIAAABkcnMvZG93bnJldi54bWxQSwECFAAUAAAACACHTuJA&#10;jB8gRDwFAADgJwAADgAAAAAAAAABACAAAAAqAQAAZHJzL2Uyb0RvYy54bWxQSwUGAAAAAAYABgBZ&#10;AQAA2AgAAAAA&#10;">
          <o:lock v:ext="edit" aspectratio="f"/>
          <v:group id="组合 10" o:spid="_x0000_s2129" o:spt="203" style="position:absolute;left:23389;top:463;height:972;width:1224;rotation:11796480f;" coordorigin="867,277" coordsize="1224,972" o:gfxdata="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RBPJ70AAADbAAAADwAAAAAAAAABACAAAAAiAAAAZHJzL2Rvd25yZXYueG1s&#10;UEsBAhQAFAAAAAgAh07iQDMvBZ47AAAAOQAAABUAAAAAAAAAAQAgAAAADAEAAGRycy9ncm91cHNo&#10;YXBleG1sLnhtbFBLBQYAAAAABgAGAGABAADJAwAAAAA=&#10;">
            <o:lock v:ext="edit" aspectratio="f"/>
            <v:rect id="矩形 4" o:spid="_x0000_s2130" o:spt="1" style="position:absolute;left:867;top:277;height:973;width:351;v-text-anchor:middle;" fillcolor="#256475" filled="t" stroked="f" coordsize="21600,21600" o:gfxdata="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Sex+8AAAA&#10;2wAAAA8AAAAAAAAAAQAgAAAAIgAAAGRycy9kb3ducmV2LnhtbFBLAQIUABQAAAAIAIdO4kAzLwWe&#10;OwAAADkAAAAQAAAAAAAAAAEAIAAAAAsBAABkcnMvc2hhcGV4bWwueG1sUEsFBgAAAAAGAAYAWwEA&#10;ALUDAAAAAA==&#10;">
              <v:path/>
              <v:fill on="t" focussize="0,0"/>
              <v:stroke on="f" weight="2pt"/>
              <v:imagedata o:title=""/>
              <o:lock v:ext="edit" aspectratio="f"/>
            </v:rect>
            <v:rect id="矩形 5" o:spid="_x0000_s2131" o:spt="1" style="position:absolute;left:1326;top:277;height:973;width:261;v-text-anchor:middle;" fillcolor="#BEE1EB" filled="t" stroked="f" coordsize="21600,21600" o:gfxdata="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MVQ68AAAA&#10;2wAAAA8AAAAAAAAAAQAgAAAAIgAAAGRycy9kb3ducmV2LnhtbFBLAQIUABQAAAAIAIdO4kAzLwWe&#10;OwAAADkAAAAQAAAAAAAAAAEAIAAAAAsBAABkcnMvc2hhcGV4bWwueG1sUEsFBgAAAAAGAAYAWwEA&#10;ALUDAAAAAA==&#10;">
              <v:path/>
              <v:fill on="t" focussize="0,0"/>
              <v:stroke on="f" weight="2pt"/>
              <v:imagedata o:title=""/>
              <o:lock v:ext="edit" aspectratio="f"/>
            </v:rect>
            <v:rect id="矩形 6" o:spid="_x0000_s2132" o:spt="1" style="position:absolute;left:1695;top:277;height:973;width:168;v-text-anchor:middle;" fillcolor="#E2F2F6" filled="t" stroked="f" coordsize="21600,21600" o:gfxdata="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kAvt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7" o:spid="_x0000_s2133" o:spt="1" style="position:absolute;left:1971;top:277;height:973;width:120;v-text-anchor:middle;" fillcolor="#F8FCFD" filled="t" stroked="f" coordsize="21600,21600" o:gfxdata="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R5ai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v:group id="组合 15" o:spid="_x0000_s2134" o:spt="203" style="position:absolute;left:12707;top:283;height:1037;width:4590;" coordorigin="867,277" coordsize="4590,1037"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2" o:spid="_x0000_s2135" o:spt="202" type="#_x0000_t202" style="position:absolute;left:2134;top:297;height:828;width:3323;"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path/>
              <v:fill on="f" focussize="0,0"/>
              <v:stroke on="f" weight="0.5pt"/>
              <v:imagedata o:title=""/>
              <o:lock v:ext="edit" aspectratio="f"/>
              <v:textbox>
                <w:txbxContent>
                  <w:p w14:paraId="7B33A107">
                    <w:pPr>
                      <w:jc w:val="left"/>
                      <w:rPr>
                        <w:rFonts w:hint="default" w:ascii="微软雅黑" w:hAnsi="微软雅黑" w:eastAsia="微软雅黑" w:cs="微软雅黑"/>
                        <w:b/>
                        <w:bCs/>
                        <w:sz w:val="40"/>
                        <w:szCs w:val="48"/>
                        <w:lang w:val="en-US" w:eastAsia="zh-CN"/>
                      </w:rPr>
                    </w:pPr>
                  </w:p>
                </w:txbxContent>
              </v:textbox>
            </v:shape>
            <v:shape id="文本框 8" o:spid="_x0000_s2136" o:spt="202" type="#_x0000_t202" style="position:absolute;left:2198;top:830;height:484;width:2993;"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path/>
              <v:fill on="f" focussize="0,0"/>
              <v:stroke on="f" weight="0.5pt"/>
              <v:imagedata o:title=""/>
              <o:lock v:ext="edit" aspectratio="f"/>
              <v:textbox>
                <w:txbxContent>
                  <w:p w14:paraId="6B054611">
                    <w:pPr>
                      <w:jc w:val="distribute"/>
                      <w:rPr>
                        <w:rFonts w:hint="default" w:ascii="微软雅黑" w:hAnsi="微软雅黑" w:eastAsia="微软雅黑" w:cs="微软雅黑"/>
                        <w:b/>
                        <w:bCs/>
                        <w:color w:val="7E7E7E"/>
                        <w:sz w:val="20"/>
                        <w:szCs w:val="22"/>
                        <w:lang w:val="en-US" w:eastAsia="zh-CN"/>
                      </w:rPr>
                    </w:pPr>
                  </w:p>
                </w:txbxContent>
              </v:textbox>
            </v:shape>
            <v:group id="组合 9" o:spid="_x0000_s2137" o:spt="203" style="position:absolute;left:867;top:277;height:972;width:1224;" coordorigin="867,277" coordsize="1224,97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矩形 4" o:spid="_x0000_s2138" o:spt="1" style="position:absolute;left:867;top:277;height:973;width:351;v-text-anchor:middle;" fillcolor="#256475" filled="t" stroked="f" coordsize="21600,21600" o:gfxdata="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dYu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5" o:spid="_x0000_s2139" o:spt="1" style="position:absolute;left:1326;top:277;height:973;width:261;v-text-anchor:middle;" fillcolor="#BEE1EB" filled="t" stroked="f" coordsize="21600,21600" o:gfxdata="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D+P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6" o:spid="_x0000_s2140" o:spt="1" style="position:absolute;left:1695;top:277;height:973;width:168;v-text-anchor:middle;" fillcolor="#E2F2F6" filled="t" stroked="f" coordsize="21600,21600" o:gfxdata="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KDfvQAA&#10;ANsAAAAPAAAAAAAAAAEAIAAAACIAAABkcnMvZG93bnJldi54bWxQSwECFAAUAAAACACHTuJAMy8F&#10;njsAAAA5AAAAEAAAAAAAAAABACAAAAAMAQAAZHJzL3NoYXBleG1sLnhtbFBLBQYAAAAABgAGAFsB&#10;AAC2AwAAAAA=&#10;">
                <v:path/>
                <v:fill on="t" focussize="0,0"/>
                <v:stroke on="f" weight="2pt"/>
                <v:imagedata o:title=""/>
                <o:lock v:ext="edit" aspectratio="f"/>
              </v:rect>
              <v:rect id="矩形 7" o:spid="_x0000_s2141" o:spt="1" style="position:absolute;left:1971;top:277;height:973;width:120;v-text-anchor:middle;" fillcolor="#F8FCFD" filled="t" stroked="f" coordsize="21600,21600" o:gfxdata="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SJm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v:group>
          <v:rect id="矩形 3" o:spid="_x0000_s2142" o:spt="1" style="position:absolute;left:12707;top:1437;height:57;width:11892;v-text-anchor:middle;" fillcolor="#256475" filled="t" stroked="f" coordsize="21600,21600" o:gfxdata="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u0C28AAAA&#10;2wAAAA8AAAAAAAAAAQAgAAAAIgAAAGRycy9kb3ducmV2LnhtbFBLAQIUABQAAAAIAIdO4kAzLwWe&#10;OwAAADkAAAAQAAAAAAAAAAEAIAAAAAsBAABkcnMvc2hhcGV4bWwueG1sUEsFBgAAAAAGAAYAWwEA&#10;ALUDAAAAAA==&#10;">
            <v:path/>
            <v:fill on="t" focussize="0,0"/>
            <v:stroke on="f" weight="2pt"/>
            <v:imagedata o:title=""/>
            <o:lock v:ext="edit" aspectratio="f"/>
          </v:rect>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DRhZTU4ZjU3MDJmYTE0YTBjMGQ2ZjcxMzI2OGZkNzIifQ=="/>
    <w:docVar w:name="KSO_WPS_MARK_KEY" w:val="d8239107-47d7-4561-927a-c52d527d094f"/>
  </w:docVars>
  <w:rsids>
    <w:rsidRoot w:val="00265237"/>
    <w:rsid w:val="00002957"/>
    <w:rsid w:val="0000322E"/>
    <w:rsid w:val="0001396E"/>
    <w:rsid w:val="00016262"/>
    <w:rsid w:val="000279D8"/>
    <w:rsid w:val="000304A6"/>
    <w:rsid w:val="00037378"/>
    <w:rsid w:val="000601A8"/>
    <w:rsid w:val="00065740"/>
    <w:rsid w:val="0006682A"/>
    <w:rsid w:val="0009218C"/>
    <w:rsid w:val="000A154C"/>
    <w:rsid w:val="000B46C8"/>
    <w:rsid w:val="000E4125"/>
    <w:rsid w:val="001163BD"/>
    <w:rsid w:val="0014052B"/>
    <w:rsid w:val="001427EB"/>
    <w:rsid w:val="00144D83"/>
    <w:rsid w:val="00173D5C"/>
    <w:rsid w:val="00183FE2"/>
    <w:rsid w:val="001A241F"/>
    <w:rsid w:val="001C0B2F"/>
    <w:rsid w:val="001C1328"/>
    <w:rsid w:val="001D76C8"/>
    <w:rsid w:val="001E5DC5"/>
    <w:rsid w:val="001F3C4D"/>
    <w:rsid w:val="00203BBD"/>
    <w:rsid w:val="00220EEC"/>
    <w:rsid w:val="00224241"/>
    <w:rsid w:val="0023164C"/>
    <w:rsid w:val="00241978"/>
    <w:rsid w:val="00245802"/>
    <w:rsid w:val="00246C48"/>
    <w:rsid w:val="00265237"/>
    <w:rsid w:val="00272A43"/>
    <w:rsid w:val="00283D6C"/>
    <w:rsid w:val="00285C55"/>
    <w:rsid w:val="00294A89"/>
    <w:rsid w:val="0029764D"/>
    <w:rsid w:val="002A5091"/>
    <w:rsid w:val="002A5C6C"/>
    <w:rsid w:val="002D2157"/>
    <w:rsid w:val="002D590D"/>
    <w:rsid w:val="002E3C9F"/>
    <w:rsid w:val="002E3D2F"/>
    <w:rsid w:val="003048A8"/>
    <w:rsid w:val="00332BB8"/>
    <w:rsid w:val="003737BF"/>
    <w:rsid w:val="00373E4D"/>
    <w:rsid w:val="003814DB"/>
    <w:rsid w:val="003818F3"/>
    <w:rsid w:val="00393BB9"/>
    <w:rsid w:val="003A73C3"/>
    <w:rsid w:val="003B4DE3"/>
    <w:rsid w:val="003D44C6"/>
    <w:rsid w:val="003E2E6F"/>
    <w:rsid w:val="003E5572"/>
    <w:rsid w:val="004226E8"/>
    <w:rsid w:val="00426E51"/>
    <w:rsid w:val="0044646C"/>
    <w:rsid w:val="00460ABF"/>
    <w:rsid w:val="004906DF"/>
    <w:rsid w:val="004917EC"/>
    <w:rsid w:val="00492576"/>
    <w:rsid w:val="004977FA"/>
    <w:rsid w:val="004B2D39"/>
    <w:rsid w:val="004F02CB"/>
    <w:rsid w:val="004F70BE"/>
    <w:rsid w:val="0050513C"/>
    <w:rsid w:val="00505990"/>
    <w:rsid w:val="00506537"/>
    <w:rsid w:val="005111A1"/>
    <w:rsid w:val="0051199C"/>
    <w:rsid w:val="00517B5C"/>
    <w:rsid w:val="005364ED"/>
    <w:rsid w:val="0054148B"/>
    <w:rsid w:val="00581ACE"/>
    <w:rsid w:val="0058559C"/>
    <w:rsid w:val="00586A8D"/>
    <w:rsid w:val="005A72D3"/>
    <w:rsid w:val="005E3A28"/>
    <w:rsid w:val="00604917"/>
    <w:rsid w:val="006076B1"/>
    <w:rsid w:val="00611CE7"/>
    <w:rsid w:val="00617A43"/>
    <w:rsid w:val="00617A74"/>
    <w:rsid w:val="00631C79"/>
    <w:rsid w:val="00645B9F"/>
    <w:rsid w:val="0065205A"/>
    <w:rsid w:val="00656286"/>
    <w:rsid w:val="00657CC0"/>
    <w:rsid w:val="00675833"/>
    <w:rsid w:val="006D0E41"/>
    <w:rsid w:val="006D5E0F"/>
    <w:rsid w:val="006E24C9"/>
    <w:rsid w:val="006F0A6E"/>
    <w:rsid w:val="007060B2"/>
    <w:rsid w:val="007071C4"/>
    <w:rsid w:val="00724C87"/>
    <w:rsid w:val="00725787"/>
    <w:rsid w:val="00734017"/>
    <w:rsid w:val="00734352"/>
    <w:rsid w:val="0074504D"/>
    <w:rsid w:val="007569A1"/>
    <w:rsid w:val="00764431"/>
    <w:rsid w:val="00770C6C"/>
    <w:rsid w:val="00776E92"/>
    <w:rsid w:val="00784B63"/>
    <w:rsid w:val="0079521F"/>
    <w:rsid w:val="0079569F"/>
    <w:rsid w:val="007A5F3C"/>
    <w:rsid w:val="007F0AE9"/>
    <w:rsid w:val="00806547"/>
    <w:rsid w:val="0080743B"/>
    <w:rsid w:val="008602D1"/>
    <w:rsid w:val="00860F17"/>
    <w:rsid w:val="00865D46"/>
    <w:rsid w:val="0086671A"/>
    <w:rsid w:val="008A62DD"/>
    <w:rsid w:val="008B0B60"/>
    <w:rsid w:val="008E1454"/>
    <w:rsid w:val="008E617A"/>
    <w:rsid w:val="009050A1"/>
    <w:rsid w:val="00906663"/>
    <w:rsid w:val="0091424C"/>
    <w:rsid w:val="00923DFC"/>
    <w:rsid w:val="00937C11"/>
    <w:rsid w:val="00941C8A"/>
    <w:rsid w:val="009563BE"/>
    <w:rsid w:val="00961F63"/>
    <w:rsid w:val="009652C7"/>
    <w:rsid w:val="009677DF"/>
    <w:rsid w:val="00991F3E"/>
    <w:rsid w:val="009951A5"/>
    <w:rsid w:val="009A1C2F"/>
    <w:rsid w:val="009A1F4F"/>
    <w:rsid w:val="009A5132"/>
    <w:rsid w:val="009A531E"/>
    <w:rsid w:val="009A55C4"/>
    <w:rsid w:val="009F33AE"/>
    <w:rsid w:val="00A13712"/>
    <w:rsid w:val="00A23615"/>
    <w:rsid w:val="00A2363D"/>
    <w:rsid w:val="00A31B68"/>
    <w:rsid w:val="00A40355"/>
    <w:rsid w:val="00A508C9"/>
    <w:rsid w:val="00A52092"/>
    <w:rsid w:val="00A71E2C"/>
    <w:rsid w:val="00A909CC"/>
    <w:rsid w:val="00A91F1F"/>
    <w:rsid w:val="00A93E5C"/>
    <w:rsid w:val="00AA031C"/>
    <w:rsid w:val="00AA7D4D"/>
    <w:rsid w:val="00AB43C3"/>
    <w:rsid w:val="00AB7EBC"/>
    <w:rsid w:val="00AC2996"/>
    <w:rsid w:val="00AE0CA8"/>
    <w:rsid w:val="00AF0549"/>
    <w:rsid w:val="00AF1B47"/>
    <w:rsid w:val="00AF4A9F"/>
    <w:rsid w:val="00B0220C"/>
    <w:rsid w:val="00B13DAE"/>
    <w:rsid w:val="00B2615E"/>
    <w:rsid w:val="00B36F8A"/>
    <w:rsid w:val="00B37539"/>
    <w:rsid w:val="00B4083C"/>
    <w:rsid w:val="00B45005"/>
    <w:rsid w:val="00B55EA8"/>
    <w:rsid w:val="00B55EF4"/>
    <w:rsid w:val="00B64981"/>
    <w:rsid w:val="00B7059B"/>
    <w:rsid w:val="00B73829"/>
    <w:rsid w:val="00B77B5F"/>
    <w:rsid w:val="00BA46C2"/>
    <w:rsid w:val="00BD0F69"/>
    <w:rsid w:val="00BD109F"/>
    <w:rsid w:val="00BD712C"/>
    <w:rsid w:val="00BE31B5"/>
    <w:rsid w:val="00BF5A29"/>
    <w:rsid w:val="00C12114"/>
    <w:rsid w:val="00C16E1C"/>
    <w:rsid w:val="00C32AC7"/>
    <w:rsid w:val="00C35F63"/>
    <w:rsid w:val="00C375CF"/>
    <w:rsid w:val="00C53AB0"/>
    <w:rsid w:val="00C5616B"/>
    <w:rsid w:val="00C81E94"/>
    <w:rsid w:val="00C92C44"/>
    <w:rsid w:val="00CA2400"/>
    <w:rsid w:val="00CA551F"/>
    <w:rsid w:val="00CB65BF"/>
    <w:rsid w:val="00CB6F5D"/>
    <w:rsid w:val="00CC799C"/>
    <w:rsid w:val="00CD0942"/>
    <w:rsid w:val="00CE1CBE"/>
    <w:rsid w:val="00CE4984"/>
    <w:rsid w:val="00CE4A94"/>
    <w:rsid w:val="00D01B4B"/>
    <w:rsid w:val="00D2613B"/>
    <w:rsid w:val="00D61AFE"/>
    <w:rsid w:val="00D81571"/>
    <w:rsid w:val="00DA6144"/>
    <w:rsid w:val="00DB2C9F"/>
    <w:rsid w:val="00DB6CA0"/>
    <w:rsid w:val="00DC229F"/>
    <w:rsid w:val="00DD515C"/>
    <w:rsid w:val="00E11AF9"/>
    <w:rsid w:val="00E1574B"/>
    <w:rsid w:val="00E22836"/>
    <w:rsid w:val="00E4257E"/>
    <w:rsid w:val="00E67CB0"/>
    <w:rsid w:val="00E74833"/>
    <w:rsid w:val="00E86589"/>
    <w:rsid w:val="00E97172"/>
    <w:rsid w:val="00E97E63"/>
    <w:rsid w:val="00ED372A"/>
    <w:rsid w:val="00F0509D"/>
    <w:rsid w:val="00F07924"/>
    <w:rsid w:val="00F1008D"/>
    <w:rsid w:val="00F3378B"/>
    <w:rsid w:val="00F9165F"/>
    <w:rsid w:val="00F92566"/>
    <w:rsid w:val="00FB4A5E"/>
    <w:rsid w:val="00FB500B"/>
    <w:rsid w:val="00FE370D"/>
    <w:rsid w:val="42894D4B"/>
    <w:rsid w:val="498F7CA4"/>
    <w:rsid w:val="5BED467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76"/>
        <o:r id="V:Rule2" type="connector" idref="#_x0000_s1077"/>
        <o:r id="V:Rule3" type="connector" idref="#_x0000_s1078"/>
        <o:r id="V:Rule4" type="connector" idref="#_x0000_s1079"/>
        <o:r id="V:Rule5" type="connector" idref="#_x0000_s108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semiHidden="0"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2"/>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3"/>
    <w:qFormat/>
    <w:uiPriority w:val="99"/>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24"/>
    <w:qFormat/>
    <w:uiPriority w:val="99"/>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1"/>
    <w:uiPriority w:val="99"/>
    <w:pPr>
      <w:jc w:val="left"/>
    </w:pPr>
    <w:rPr>
      <w:rFonts w:ascii="Times New Roman" w:hAnsi="Times New Roman"/>
      <w:szCs w:val="24"/>
    </w:rPr>
  </w:style>
  <w:style w:type="paragraph" w:styleId="7">
    <w:name w:val="toc 3"/>
    <w:basedOn w:val="1"/>
    <w:next w:val="1"/>
    <w:locked/>
    <w:uiPriority w:val="39"/>
    <w:pPr>
      <w:ind w:left="840" w:leftChars="400"/>
    </w:pPr>
  </w:style>
  <w:style w:type="paragraph" w:styleId="8">
    <w:name w:val="Balloon Text"/>
    <w:basedOn w:val="1"/>
    <w:link w:val="32"/>
    <w:semiHidden/>
    <w:uiPriority w:val="99"/>
    <w:rPr>
      <w:sz w:val="18"/>
      <w:szCs w:val="18"/>
    </w:rPr>
  </w:style>
  <w:style w:type="paragraph" w:styleId="9">
    <w:name w:val="footer"/>
    <w:basedOn w:val="1"/>
    <w:link w:val="26"/>
    <w:uiPriority w:val="99"/>
    <w:pPr>
      <w:tabs>
        <w:tab w:val="center" w:pos="4153"/>
        <w:tab w:val="right" w:pos="8306"/>
      </w:tabs>
      <w:snapToGrid w:val="0"/>
      <w:jc w:val="left"/>
    </w:pPr>
    <w:rPr>
      <w:sz w:val="18"/>
      <w:szCs w:val="18"/>
    </w:rPr>
  </w:style>
  <w:style w:type="paragraph" w:styleId="10">
    <w:name w:val="header"/>
    <w:basedOn w:val="1"/>
    <w:link w:val="25"/>
    <w:semiHidden/>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39"/>
    <w:pPr>
      <w:tabs>
        <w:tab w:val="right" w:leader="dot" w:pos="8834"/>
      </w:tabs>
      <w:spacing w:line="560" w:lineRule="exact"/>
      <w:jc w:val="center"/>
    </w:pPr>
    <w:rPr>
      <w:rFonts w:ascii="黑体" w:hAnsi="黑体" w:eastAsia="黑体"/>
      <w:sz w:val="36"/>
      <w:szCs w:val="36"/>
    </w:rPr>
  </w:style>
  <w:style w:type="paragraph" w:styleId="12">
    <w:name w:val="toc 2"/>
    <w:basedOn w:val="1"/>
    <w:next w:val="1"/>
    <w:uiPriority w:val="39"/>
    <w:pPr>
      <w:ind w:left="420" w:leftChars="200"/>
    </w:pPr>
    <w:rPr>
      <w:rFonts w:ascii="Times New Roman" w:hAnsi="Times New Roman"/>
      <w:szCs w:val="24"/>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6"/>
    <w:next w:val="6"/>
    <w:link w:val="34"/>
    <w:semiHidden/>
    <w:uiPriority w:val="99"/>
    <w:rPr>
      <w:rFonts w:ascii="Calibri" w:hAnsi="Calibri"/>
      <w:b/>
      <w:bCs/>
      <w:szCs w:val="22"/>
    </w:rPr>
  </w:style>
  <w:style w:type="table" w:styleId="16">
    <w:name w:val="Table Grid"/>
    <w:basedOn w:val="1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page number"/>
    <w:uiPriority w:val="99"/>
    <w:rPr>
      <w:rFonts w:cs="Times New Roman"/>
    </w:rPr>
  </w:style>
  <w:style w:type="character" w:styleId="19">
    <w:name w:val="Hyperlink"/>
    <w:uiPriority w:val="99"/>
    <w:rPr>
      <w:rFonts w:cs="Times New Roman"/>
      <w:color w:val="0000FF"/>
      <w:u w:val="single"/>
    </w:rPr>
  </w:style>
  <w:style w:type="character" w:styleId="20">
    <w:name w:val="annotation reference"/>
    <w:semiHidden/>
    <w:qFormat/>
    <w:uiPriority w:val="99"/>
    <w:rPr>
      <w:rFonts w:cs="Times New Roman"/>
      <w:sz w:val="21"/>
      <w:szCs w:val="21"/>
    </w:rPr>
  </w:style>
  <w:style w:type="character" w:customStyle="1" w:styleId="21">
    <w:name w:val="标题 1 Char"/>
    <w:link w:val="2"/>
    <w:locked/>
    <w:uiPriority w:val="99"/>
    <w:rPr>
      <w:rFonts w:ascii="Times New Roman" w:hAnsi="Times New Roman" w:eastAsia="宋体" w:cs="Times New Roman"/>
      <w:b/>
      <w:bCs/>
      <w:kern w:val="44"/>
      <w:sz w:val="44"/>
      <w:szCs w:val="44"/>
    </w:rPr>
  </w:style>
  <w:style w:type="character" w:customStyle="1" w:styleId="22">
    <w:name w:val="标题 2 Char"/>
    <w:link w:val="3"/>
    <w:locked/>
    <w:uiPriority w:val="99"/>
    <w:rPr>
      <w:rFonts w:ascii="Arial" w:hAnsi="Arial" w:eastAsia="黑体" w:cs="Times New Roman"/>
      <w:b/>
      <w:bCs/>
      <w:sz w:val="32"/>
      <w:szCs w:val="32"/>
    </w:rPr>
  </w:style>
  <w:style w:type="character" w:customStyle="1" w:styleId="23">
    <w:name w:val="标题 3 Char"/>
    <w:link w:val="4"/>
    <w:locked/>
    <w:uiPriority w:val="99"/>
    <w:rPr>
      <w:rFonts w:ascii="Times New Roman" w:hAnsi="Times New Roman" w:eastAsia="宋体" w:cs="Times New Roman"/>
      <w:b/>
      <w:bCs/>
      <w:sz w:val="32"/>
      <w:szCs w:val="32"/>
    </w:rPr>
  </w:style>
  <w:style w:type="character" w:customStyle="1" w:styleId="24">
    <w:name w:val="标题 4 Char"/>
    <w:link w:val="5"/>
    <w:locked/>
    <w:uiPriority w:val="99"/>
    <w:rPr>
      <w:rFonts w:ascii="Arial" w:hAnsi="Arial" w:eastAsia="黑体" w:cs="Times New Roman"/>
      <w:b/>
      <w:bCs/>
      <w:sz w:val="28"/>
      <w:szCs w:val="28"/>
    </w:rPr>
  </w:style>
  <w:style w:type="character" w:customStyle="1" w:styleId="25">
    <w:name w:val="页眉 Char"/>
    <w:link w:val="10"/>
    <w:semiHidden/>
    <w:locked/>
    <w:uiPriority w:val="99"/>
    <w:rPr>
      <w:rFonts w:cs="Times New Roman"/>
      <w:sz w:val="18"/>
      <w:szCs w:val="18"/>
    </w:rPr>
  </w:style>
  <w:style w:type="character" w:customStyle="1" w:styleId="26">
    <w:name w:val="页脚 Char"/>
    <w:link w:val="9"/>
    <w:locked/>
    <w:uiPriority w:val="99"/>
    <w:rPr>
      <w:rFonts w:cs="Times New Roman"/>
      <w:sz w:val="18"/>
      <w:szCs w:val="18"/>
    </w:rPr>
  </w:style>
  <w:style w:type="paragraph" w:customStyle="1" w:styleId="27">
    <w:name w:val="Defaul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8">
    <w:name w:val="reader-word-layer reader-word-s3-1"/>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9">
    <w:name w:val="reader-word-layer reader-word-s3-3"/>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0">
    <w:name w:val="reader-word-layer reader-word-s4-3"/>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31">
    <w:name w:val="批注文字 Char"/>
    <w:link w:val="6"/>
    <w:locked/>
    <w:uiPriority w:val="99"/>
    <w:rPr>
      <w:rFonts w:ascii="Times New Roman" w:hAnsi="Times New Roman" w:eastAsia="宋体" w:cs="Times New Roman"/>
      <w:sz w:val="24"/>
      <w:szCs w:val="24"/>
    </w:rPr>
  </w:style>
  <w:style w:type="character" w:customStyle="1" w:styleId="32">
    <w:name w:val="批注框文本 Char"/>
    <w:link w:val="8"/>
    <w:semiHidden/>
    <w:locked/>
    <w:uiPriority w:val="99"/>
    <w:rPr>
      <w:rFonts w:cs="Times New Roman"/>
      <w:sz w:val="18"/>
      <w:szCs w:val="18"/>
    </w:rPr>
  </w:style>
  <w:style w:type="paragraph" w:customStyle="1" w:styleId="33">
    <w:name w:val="样式2"/>
    <w:basedOn w:val="1"/>
    <w:uiPriority w:val="99"/>
    <w:pPr>
      <w:ind w:firstLine="200" w:firstLineChars="200"/>
    </w:pPr>
    <w:rPr>
      <w:rFonts w:ascii="Times New Roman" w:hAnsi="Times New Roman" w:eastAsia="仿宋_GB2312"/>
      <w:sz w:val="32"/>
      <w:szCs w:val="30"/>
    </w:rPr>
  </w:style>
  <w:style w:type="character" w:customStyle="1" w:styleId="34">
    <w:name w:val="批注主题 Char"/>
    <w:link w:val="14"/>
    <w:semiHidden/>
    <w:qFormat/>
    <w:uiPriority w:val="99"/>
    <w:rPr>
      <w:rFonts w:ascii="Times New Roman" w:hAnsi="Times New Roman" w:eastAsia="宋体" w:cs="Times New Roman"/>
      <w:b/>
      <w:bCs/>
      <w:sz w:val="24"/>
      <w:szCs w:val="24"/>
    </w:rPr>
  </w:style>
  <w:style w:type="paragraph" w:customStyle="1" w:styleId="3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6">
    <w:name w:val="其他发布部门"/>
    <w:basedOn w:val="1"/>
    <w:qFormat/>
    <w:uiPriority w:val="0"/>
    <w:pPr>
      <w:widowControl/>
      <w:spacing w:line="0" w:lineRule="atLeast"/>
      <w:jc w:val="center"/>
    </w:pPr>
    <w:rPr>
      <w:rFonts w:ascii="黑体" w:hAnsi="Times New Roman" w:eastAsia="黑体"/>
      <w:spacing w:val="20"/>
      <w:w w:val="135"/>
      <w:kern w:val="0"/>
      <w:sz w:val="36"/>
      <w:szCs w:val="20"/>
    </w:rPr>
  </w:style>
  <w:style w:type="character" w:customStyle="1" w:styleId="37">
    <w:name w:val="段 Char"/>
    <w:link w:val="38"/>
    <w:qFormat/>
    <w:uiPriority w:val="0"/>
    <w:rPr>
      <w:rFonts w:ascii="宋体"/>
      <w:sz w:val="21"/>
    </w:rPr>
  </w:style>
  <w:style w:type="paragraph" w:customStyle="1" w:styleId="38">
    <w:name w:val="段"/>
    <w:link w:val="37"/>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红蓝简约风项目计划封面"/>
      <sectRole val="1"/>
    </customSectPr>
    <customSectPr/>
    <customSectPr/>
  </customSectProps>
  <customShpExts>
    <customShpInfo spid="_x0000_s2144"/>
    <customShpInfo spid="_x0000_s2115"/>
    <customShpInfo spid="_x0000_s2116"/>
    <customShpInfo spid="_x0000_s2117"/>
    <customShpInfo spid="_x0000_s2118"/>
    <customShpInfo spid="_x0000_s2114"/>
    <customShpInfo spid="_x0000_s2120"/>
    <customShpInfo spid="_x0000_s2121"/>
    <customShpInfo spid="_x0000_s2123"/>
    <customShpInfo spid="_x0000_s2124"/>
    <customShpInfo spid="_x0000_s2125"/>
    <customShpInfo spid="_x0000_s2126"/>
    <customShpInfo spid="_x0000_s2122"/>
    <customShpInfo spid="_x0000_s2119"/>
    <customShpInfo spid="_x0000_s2127"/>
    <customShpInfo spid="_x0000_s2113"/>
    <customShpInfo spid="_x0000_s2145"/>
    <customShpInfo spid="_x0000_s2130"/>
    <customShpInfo spid="_x0000_s2131"/>
    <customShpInfo spid="_x0000_s2132"/>
    <customShpInfo spid="_x0000_s2133"/>
    <customShpInfo spid="_x0000_s2129"/>
    <customShpInfo spid="_x0000_s2135"/>
    <customShpInfo spid="_x0000_s2136"/>
    <customShpInfo spid="_x0000_s2138"/>
    <customShpInfo spid="_x0000_s2139"/>
    <customShpInfo spid="_x0000_s2140"/>
    <customShpInfo spid="_x0000_s2141"/>
    <customShpInfo spid="_x0000_s2137"/>
    <customShpInfo spid="_x0000_s2134"/>
    <customShpInfo spid="_x0000_s2142"/>
    <customShpInfo spid="_x0000_s2128"/>
    <customShpInfo spid="_x0000_s1083"/>
    <customShpInfo spid="_x0000_s1085"/>
    <customShpInfo spid="_x0000_s1084"/>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167B02-5B16-4F4E-9804-8D2015547C00}">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12018</Words>
  <Characters>12565</Characters>
  <Lines>117</Lines>
  <Paragraphs>32</Paragraphs>
  <TotalTime>1</TotalTime>
  <ScaleCrop>false</ScaleCrop>
  <LinksUpToDate>false</LinksUpToDate>
  <CharactersWithSpaces>13067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2016-05-30T03:09:00Z</dcterms:created>
  <dc:creator>18413</dc:creator>
  <cp:lastModifiedBy>玲俐</cp:lastModifiedBy>
  <cp:lastPrinted>2016-11-09T03:36:00Z</cp:lastPrinted>
  <dcterms:modified xsi:type="dcterms:W3CDTF">2024-09-10T07:44:27Z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E3942E272CB84AD99A879C4B1B3C89F2_12</vt:lpwstr>
  </property>
</Properties>
</file>