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1011" w:firstLineChars="300"/>
        <w:jc w:val="center"/>
        <w:rPr>
          <w:rFonts w:ascii="微软雅黑" w:hAnsi="微软雅黑" w:eastAsia="微软雅黑" w:cstheme="majorEastAsia"/>
          <w:b/>
          <w:bCs/>
          <w:sz w:val="36"/>
          <w:szCs w:val="36"/>
        </w:rPr>
      </w:pPr>
      <w:bookmarkStart w:id="46" w:name="_GoBack"/>
      <w:bookmarkEnd w:id="46"/>
      <w:r>
        <w:rPr>
          <w:rFonts w:hint="eastAsia" w:ascii="微软雅黑" w:hAnsi="微软雅黑" w:eastAsia="微软雅黑" w:cstheme="majorEastAsia"/>
          <w:b/>
          <w:bCs/>
          <w:sz w:val="36"/>
          <w:szCs w:val="36"/>
        </w:rPr>
        <w:t>陕西省铜川乔子梁煤业有限公司</w:t>
      </w:r>
    </w:p>
    <w:p>
      <w:pPr>
        <w:adjustRightInd w:val="0"/>
        <w:snapToGrid w:val="0"/>
        <w:ind w:firstLine="677"/>
        <w:jc w:val="center"/>
        <w:rPr>
          <w:rFonts w:ascii="微软雅黑" w:hAnsi="微软雅黑" w:eastAsia="微软雅黑" w:cstheme="majorEastAsia"/>
          <w:b/>
          <w:bCs/>
          <w:sz w:val="36"/>
          <w:szCs w:val="36"/>
        </w:rPr>
      </w:pPr>
      <w:r>
        <w:rPr>
          <w:rFonts w:hint="eastAsia" w:ascii="黑体" w:hAnsi="黑体" w:eastAsia="黑体" w:cstheme="majorEastAsia"/>
          <w:b/>
          <w:bCs/>
          <w:sz w:val="36"/>
          <w:szCs w:val="36"/>
        </w:rPr>
        <w:t>“11·4”</w:t>
      </w:r>
      <w:r>
        <w:rPr>
          <w:rFonts w:hint="eastAsia" w:ascii="微软雅黑" w:hAnsi="微软雅黑" w:eastAsia="微软雅黑" w:cstheme="majorEastAsia"/>
          <w:b/>
          <w:bCs/>
          <w:sz w:val="36"/>
          <w:szCs w:val="36"/>
        </w:rPr>
        <w:t>较大煤与瓦斯突出事故调查报告</w:t>
      </w:r>
    </w:p>
    <w:p>
      <w:pPr>
        <w:ind w:firstLine="743" w:firstLineChars="250"/>
        <w:rPr>
          <w:rFonts w:ascii="仿宋" w:hAnsi="仿宋" w:eastAsia="仿宋" w:cs="仿宋"/>
          <w:szCs w:val="32"/>
        </w:rPr>
      </w:pPr>
      <w:r>
        <w:rPr>
          <w:rFonts w:hint="eastAsia" w:ascii="仿宋" w:hAnsi="仿宋" w:eastAsia="仿宋" w:cs="仿宋"/>
          <w:szCs w:val="32"/>
        </w:rPr>
        <w:t>2020年11月4日12时15分，铜川乔子梁煤业有限公司（以下简称“乔子梁煤矿”）59采区轨道下山下段综掘工作面发生一起较大煤与瓦斯突出事故，造成8人死亡，13人受伤（</w:t>
      </w:r>
      <w:r>
        <w:rPr>
          <w:rFonts w:hint="eastAsia" w:ascii="仿宋" w:hAnsi="仿宋" w:eastAsia="仿宋" w:cs="仿宋"/>
          <w:color w:val="000000" w:themeColor="text1"/>
          <w:szCs w:val="32"/>
          <w14:textFill>
            <w14:solidFill>
              <w14:schemeClr w14:val="tx1"/>
            </w14:solidFill>
          </w14:textFill>
        </w:rPr>
        <w:t>均轻伤</w:t>
      </w:r>
      <w:r>
        <w:rPr>
          <w:rFonts w:hint="eastAsia" w:ascii="仿宋" w:hAnsi="仿宋" w:eastAsia="仿宋" w:cs="仿宋"/>
          <w:szCs w:val="32"/>
        </w:rPr>
        <w:t>），直接经济损失1732.05万元。</w:t>
      </w:r>
    </w:p>
    <w:p>
      <w:pPr>
        <w:ind w:firstLine="594"/>
        <w:rPr>
          <w:rFonts w:ascii="仿宋" w:hAnsi="仿宋" w:eastAsia="仿宋" w:cs="仿宋"/>
          <w:szCs w:val="32"/>
        </w:rPr>
      </w:pPr>
      <w:r>
        <w:rPr>
          <w:rFonts w:hint="eastAsia" w:ascii="仿宋" w:hAnsi="仿宋" w:eastAsia="仿宋" w:cs="仿宋"/>
          <w:szCs w:val="32"/>
        </w:rPr>
        <w:t>事故发生后，国务委员王勇，应急管理部党委书记黄明，应急管理部副部长、国家煤矿安全监察局局长黄玉治，陕西省委书记刘国中、省长赵一德等领导同志就科学施救、善后处置、事故调查、责任追究等做出批示,要求坚持生命至上原则，密切配合、通力协作，全力组织开展科学救援，妥善做好善后处置、事故调查、舆论引导等相关工作，确保经济社会大局稳定。黄玉治视频连线事故现场，提出了明确要求，乔子梁煤矿“11·4”较大煤与瓦斯突出事故提级调查。省委常委、省政府常务副省长梁桂同志两次亲临事故煤矿现场和井下督导事故抢险救援工作，安排部署事故调查相关工作。国家煤矿安全监察局事故调查司、行管司及国家安全生产应急救援中心派员赶赴现场，指导</w:t>
      </w:r>
      <w:r>
        <w:rPr>
          <w:rFonts w:hint="eastAsia" w:ascii="仿宋" w:hAnsi="仿宋" w:eastAsia="仿宋" w:cs="仿宋"/>
          <w:color w:val="000000" w:themeColor="text1"/>
          <w:szCs w:val="32"/>
          <w14:textFill>
            <w14:solidFill>
              <w14:schemeClr w14:val="tx1"/>
            </w14:solidFill>
          </w14:textFill>
        </w:rPr>
        <w:t>事故</w:t>
      </w:r>
      <w:r>
        <w:rPr>
          <w:rFonts w:hint="eastAsia" w:ascii="仿宋" w:hAnsi="仿宋" w:eastAsia="仿宋" w:cs="仿宋"/>
          <w:szCs w:val="32"/>
        </w:rPr>
        <w:t>处置</w:t>
      </w:r>
      <w:r>
        <w:rPr>
          <w:rFonts w:hint="eastAsia" w:ascii="仿宋" w:hAnsi="仿宋" w:eastAsia="仿宋" w:cs="仿宋"/>
          <w:color w:val="000000" w:themeColor="text1"/>
          <w:szCs w:val="32"/>
          <w14:textFill>
            <w14:solidFill>
              <w14:schemeClr w14:val="tx1"/>
            </w14:solidFill>
          </w14:textFill>
        </w:rPr>
        <w:t>工作。陕西煤矿安全监察局、陕西省应急管理厅、陕西省能源局负责同志第一时间</w:t>
      </w:r>
      <w:r>
        <w:rPr>
          <w:rFonts w:hint="eastAsia" w:ascii="仿宋" w:hAnsi="仿宋" w:eastAsia="仿宋" w:cs="仿宋"/>
          <w:szCs w:val="32"/>
        </w:rPr>
        <w:t>赶赴事故煤矿现场，指导抢险救援。铜川市和印台区政府党政负责同志</w:t>
      </w:r>
      <w:r>
        <w:rPr>
          <w:rFonts w:hint="eastAsia" w:ascii="仿宋" w:hAnsi="仿宋" w:eastAsia="仿宋" w:cs="仿宋"/>
          <w:color w:val="000000" w:themeColor="text1"/>
          <w:szCs w:val="32"/>
          <w14:textFill>
            <w14:solidFill>
              <w14:schemeClr w14:val="tx1"/>
            </w14:solidFill>
          </w14:textFill>
        </w:rPr>
        <w:t>亲临</w:t>
      </w:r>
      <w:r>
        <w:rPr>
          <w:rFonts w:hint="eastAsia" w:ascii="仿宋" w:hAnsi="仿宋" w:eastAsia="仿宋" w:cs="仿宋"/>
          <w:szCs w:val="32"/>
        </w:rPr>
        <w:t>事故煤矿现场组组织救援，经过7天搜救，至11月10日23时，8名遇难职工全部找到，救援工作结束。</w:t>
      </w:r>
    </w:p>
    <w:p>
      <w:pPr>
        <w:shd w:val="clear" w:color="auto" w:fill="FFFFFF"/>
        <w:adjustRightInd w:val="0"/>
        <w:snapToGrid w:val="0"/>
        <w:ind w:firstLine="594"/>
        <w:rPr>
          <w:rFonts w:ascii="仿宋" w:hAnsi="仿宋" w:eastAsia="仿宋" w:cs="仿宋"/>
          <w:szCs w:val="32"/>
        </w:rPr>
      </w:pPr>
      <w:r>
        <w:rPr>
          <w:rFonts w:hint="eastAsia" w:ascii="仿宋" w:hAnsi="仿宋" w:eastAsia="仿宋" w:cs="仿宋"/>
          <w:kern w:val="0"/>
          <w:szCs w:val="32"/>
        </w:rPr>
        <w:t>依据《中华人民共和国安全生产法》《生产安全事故报告和调查处理条例》《煤矿安全监察条例》等法律法规，经陕西省人民政府批准，陕西煤矿安全监察局会同省监察委员会，省应急管理厅、省公安厅</w:t>
      </w:r>
      <w:r>
        <w:rPr>
          <w:rFonts w:hint="eastAsia" w:ascii="仿宋" w:hAnsi="仿宋" w:eastAsia="仿宋" w:cs="仿宋"/>
          <w:szCs w:val="32"/>
        </w:rPr>
        <w:t>、省总工会、省能源局、铜川市人民政府等单位组成铜川乔子梁煤业有限公司“11·4”较大煤与瓦斯突出事故调查组（以下简称事故调查组），对该起事故提级调查。事故调查组下设技术组、管理组、综合组和责任追究组，并在全国范围内聘请8名专家参与事故调查。</w:t>
      </w:r>
    </w:p>
    <w:p>
      <w:pPr>
        <w:autoSpaceDE w:val="0"/>
        <w:autoSpaceDN w:val="0"/>
        <w:adjustRightInd w:val="0"/>
        <w:ind w:firstLine="594"/>
        <w:rPr>
          <w:rFonts w:ascii="仿宋" w:hAnsi="仿宋" w:eastAsia="仿宋" w:cs="仿宋"/>
          <w:szCs w:val="32"/>
        </w:rPr>
      </w:pPr>
      <w:r>
        <w:rPr>
          <w:rFonts w:hint="eastAsia" w:ascii="仿宋" w:hAnsi="仿宋" w:eastAsia="仿宋" w:cs="仿宋"/>
          <w:szCs w:val="32"/>
        </w:rPr>
        <w:t>事故调查组按照“科学严谨、依法依规、实事求是、注重实效”的原则，通过现场勘查、调查取证、专家论证，查明了事故发生的经过、原因、人员伤亡和直接经济损失，认定了事故性质和责任，对有关责任人员和责任单位提出了处理建议，针对事故暴露出的问题，提出了事故防范措施建议，形成了事故调查报告，现将有关情况报告如下：</w:t>
      </w:r>
    </w:p>
    <w:p>
      <w:pPr>
        <w:ind w:firstLine="596"/>
        <w:rPr>
          <w:rFonts w:ascii="仿宋" w:hAnsi="仿宋" w:eastAsia="仿宋" w:cs="仿宋"/>
          <w:b/>
          <w:bCs/>
          <w:szCs w:val="32"/>
        </w:rPr>
      </w:pPr>
      <w:r>
        <w:rPr>
          <w:rFonts w:hint="eastAsia" w:ascii="仿宋" w:hAnsi="仿宋" w:eastAsia="仿宋" w:cs="仿宋"/>
          <w:b/>
          <w:bCs/>
          <w:szCs w:val="32"/>
        </w:rPr>
        <w:t>一、事故发生单位概况</w:t>
      </w:r>
    </w:p>
    <w:p>
      <w:pPr>
        <w:ind w:firstLine="596"/>
        <w:rPr>
          <w:rFonts w:ascii="仿宋" w:hAnsi="仿宋" w:eastAsia="仿宋" w:cs="仿宋"/>
          <w:b/>
          <w:bCs/>
          <w:szCs w:val="32"/>
        </w:rPr>
      </w:pPr>
      <w:r>
        <w:rPr>
          <w:rFonts w:hint="eastAsia" w:ascii="仿宋" w:hAnsi="仿宋" w:eastAsia="仿宋" w:cs="仿宋"/>
          <w:b/>
          <w:bCs/>
          <w:szCs w:val="32"/>
        </w:rPr>
        <w:t>（一）矿井基本情况</w:t>
      </w:r>
    </w:p>
    <w:p>
      <w:pPr>
        <w:adjustRightInd w:val="0"/>
        <w:snapToGrid w:val="0"/>
        <w:ind w:firstLine="596"/>
        <w:rPr>
          <w:rFonts w:ascii="仿宋" w:hAnsi="仿宋" w:eastAsia="仿宋" w:cs="仿宋"/>
          <w:szCs w:val="32"/>
        </w:rPr>
      </w:pPr>
      <w:r>
        <w:rPr>
          <w:rFonts w:hint="eastAsia" w:ascii="仿宋" w:hAnsi="仿宋" w:eastAsia="仿宋" w:cs="仿宋"/>
          <w:b/>
          <w:szCs w:val="32"/>
        </w:rPr>
        <w:t>1.矿井概况。</w:t>
      </w:r>
    </w:p>
    <w:p>
      <w:pPr>
        <w:spacing w:line="560" w:lineRule="exact"/>
        <w:ind w:firstLine="594"/>
        <w:rPr>
          <w:rFonts w:ascii="仿宋_GB2312" w:eastAsia="仿宋_GB2312"/>
          <w:szCs w:val="32"/>
        </w:rPr>
      </w:pPr>
      <w:r>
        <w:rPr>
          <w:rFonts w:hint="eastAsia" w:ascii="仿宋" w:hAnsi="仿宋" w:eastAsia="仿宋"/>
          <w:szCs w:val="32"/>
        </w:rPr>
        <w:t>乔子梁煤矿位于铜川矿区东部，行政区划属铜川市印台区红土镇管辖。矿井原隶属于铜川矿务局史家河煤矿，1981年建矿，1990年投产。2001年9月28日破产重组为铜川新元实业有限公司乔子梁煤矿，2006年陕西省煤炭工业局核定该矿产能21万吨/年。2011年根据陕西煤炭生产安全监督管理局文件（陕煤局发〔2011〕187号），同意该矿核定为30万吨/年。2011年9月由山西普正汇通投资有限公司收购，2013年5月乔子梁煤矿完成采矿权变更手续，采矿权人为铜川乔子梁煤业有限公司。2012年11月，陕西煤炭生产安全监督管理局以“陕煤局复〔2012〕129号”批复该矿机械化改造，改造后产能提升为60万吨/年。2014年12月机械化改造建设项目安全设施竣工验收通过核查，2015年1月29日取得安全生产许可证。</w:t>
      </w:r>
      <w:r>
        <w:rPr>
          <w:rFonts w:hint="eastAsia" w:ascii="仿宋" w:hAnsi="仿宋" w:eastAsia="仿宋" w:cs="仿宋"/>
          <w:szCs w:val="32"/>
        </w:rPr>
        <w:t>2017年3月至2018年3月由皖北煤电集团公司托管，2018年3月以来</w:t>
      </w:r>
      <w:r>
        <w:rPr>
          <w:rFonts w:ascii="仿宋" w:hAnsi="仿宋" w:eastAsia="仿宋" w:cs="仿宋"/>
          <w:szCs w:val="32"/>
        </w:rPr>
        <w:t>乔子梁煤矿</w:t>
      </w:r>
      <w:r>
        <w:rPr>
          <w:rFonts w:hint="eastAsia" w:ascii="仿宋" w:hAnsi="仿宋" w:eastAsia="仿宋" w:cs="仿宋"/>
          <w:szCs w:val="32"/>
        </w:rPr>
        <w:t>自主生产经营。</w:t>
      </w:r>
    </w:p>
    <w:p>
      <w:pPr>
        <w:ind w:firstLine="596"/>
        <w:rPr>
          <w:rFonts w:ascii="仿宋" w:hAnsi="仿宋" w:eastAsia="仿宋" w:cs="仿宋"/>
          <w:szCs w:val="32"/>
        </w:rPr>
      </w:pPr>
      <w:r>
        <w:rPr>
          <w:rFonts w:hint="eastAsia" w:ascii="仿宋" w:hAnsi="仿宋" w:eastAsia="仿宋" w:cs="仿宋"/>
          <w:b/>
          <w:szCs w:val="32"/>
        </w:rPr>
        <w:t>2.</w:t>
      </w:r>
      <w:r>
        <w:rPr>
          <w:rFonts w:ascii="仿宋" w:hAnsi="仿宋" w:eastAsia="仿宋" w:cs="仿宋"/>
          <w:b/>
          <w:szCs w:val="32"/>
        </w:rPr>
        <w:t>乔子梁煤矿</w:t>
      </w:r>
      <w:r>
        <w:rPr>
          <w:rFonts w:hint="eastAsia" w:ascii="仿宋" w:hAnsi="仿宋" w:eastAsia="仿宋" w:cs="仿宋"/>
          <w:b/>
          <w:szCs w:val="32"/>
        </w:rPr>
        <w:t>证照。营业执照，</w:t>
      </w:r>
      <w:r>
        <w:rPr>
          <w:rFonts w:hint="eastAsia" w:ascii="仿宋" w:hAnsi="仿宋" w:eastAsia="仿宋" w:cs="仿宋"/>
          <w:szCs w:val="32"/>
        </w:rPr>
        <w:t>统一社会信用代码：91610000648265491，成立日期：2013年4月1日，营业期限：长期。</w:t>
      </w:r>
      <w:r>
        <w:rPr>
          <w:rFonts w:hint="eastAsia" w:ascii="仿宋" w:hAnsi="仿宋" w:eastAsia="仿宋" w:cs="仿宋"/>
          <w:b/>
          <w:szCs w:val="32"/>
        </w:rPr>
        <w:t>采矿许可证</w:t>
      </w:r>
      <w:r>
        <w:rPr>
          <w:rFonts w:hint="eastAsia" w:ascii="仿宋" w:hAnsi="仿宋" w:eastAsia="仿宋" w:cs="仿宋"/>
          <w:szCs w:val="32"/>
        </w:rPr>
        <w:t>，陕西省国土资源厅颁发，证号C6100002011011120106815，有效期限：2019年10月21日至2024年10月21日，生产规模：0.60Mt/a。</w:t>
      </w:r>
      <w:r>
        <w:rPr>
          <w:rFonts w:hint="eastAsia" w:ascii="仿宋" w:hAnsi="仿宋" w:eastAsia="仿宋" w:cs="仿宋"/>
          <w:b/>
          <w:szCs w:val="32"/>
        </w:rPr>
        <w:t>安全生产许可证，</w:t>
      </w:r>
      <w:r>
        <w:rPr>
          <w:rFonts w:hint="eastAsia" w:ascii="仿宋" w:hAnsi="仿宋" w:eastAsia="仿宋" w:cs="仿宋"/>
          <w:szCs w:val="32"/>
        </w:rPr>
        <w:t>证号：（陕）MK安许证字[123006]，有效期：2018年2月28日至2021年2月28日。</w:t>
      </w:r>
    </w:p>
    <w:p>
      <w:pPr>
        <w:ind w:firstLine="594"/>
        <w:rPr>
          <w:rFonts w:ascii="仿宋" w:hAnsi="仿宋" w:eastAsia="仿宋" w:cs="仿宋"/>
          <w:bCs/>
          <w:szCs w:val="32"/>
        </w:rPr>
      </w:pPr>
      <w:bookmarkStart w:id="0" w:name="_Toc7355057"/>
      <w:bookmarkStart w:id="1" w:name="_Toc4983"/>
      <w:r>
        <w:rPr>
          <w:rFonts w:hint="eastAsia" w:ascii="仿宋" w:hAnsi="仿宋" w:eastAsia="仿宋" w:cs="仿宋"/>
          <w:bCs/>
          <w:szCs w:val="32"/>
        </w:rPr>
        <w:t>（二）矿井开采条件</w:t>
      </w:r>
      <w:bookmarkEnd w:id="0"/>
      <w:bookmarkEnd w:id="1"/>
    </w:p>
    <w:p>
      <w:pPr>
        <w:ind w:firstLine="596"/>
        <w:rPr>
          <w:rFonts w:ascii="仿宋" w:hAnsi="仿宋" w:eastAsia="仿宋" w:cs="仿宋"/>
          <w:b/>
          <w:bCs/>
          <w:szCs w:val="32"/>
        </w:rPr>
      </w:pPr>
      <w:r>
        <w:rPr>
          <w:rFonts w:hint="eastAsia" w:ascii="仿宋" w:hAnsi="仿宋" w:eastAsia="仿宋" w:cs="仿宋"/>
          <w:b/>
          <w:color w:val="000000"/>
        </w:rPr>
        <w:t>1.井田范围。</w:t>
      </w:r>
      <w:r>
        <w:rPr>
          <w:rFonts w:hint="eastAsia" w:ascii="仿宋" w:hAnsi="仿宋" w:eastAsia="仿宋" w:cs="仿宋"/>
          <w:color w:val="000000"/>
        </w:rPr>
        <w:t>井田走向长度4.2km，倾斜宽2.4km，面积6.4152</w:t>
      </w:r>
      <w:r>
        <w:rPr>
          <w:rFonts w:ascii="仿宋" w:hAnsi="仿宋" w:eastAsia="仿宋" w:cs="仿宋"/>
          <w:color w:val="000000"/>
        </w:rPr>
        <w:t>km</w:t>
      </w:r>
      <w:r>
        <w:rPr>
          <w:rFonts w:hint="eastAsia" w:ascii="仿宋" w:hAnsi="仿宋" w:eastAsia="仿宋" w:cs="仿宋"/>
          <w:color w:val="000000"/>
          <w:vertAlign w:val="superscript"/>
        </w:rPr>
        <w:t>2</w:t>
      </w:r>
      <w:r>
        <w:rPr>
          <w:rFonts w:hint="eastAsia" w:ascii="仿宋" w:hAnsi="仿宋" w:eastAsia="仿宋" w:cs="仿宋"/>
          <w:color w:val="000000"/>
        </w:rPr>
        <w:t>，开采深度为+1066</w:t>
      </w:r>
      <w:r>
        <w:rPr>
          <w:rFonts w:ascii="仿宋" w:hAnsi="仿宋" w:eastAsia="仿宋" w:cs="仿宋"/>
          <w:color w:val="000000"/>
        </w:rPr>
        <w:t>m</w:t>
      </w:r>
      <w:r>
        <w:rPr>
          <w:rFonts w:hint="eastAsia" w:ascii="仿宋" w:hAnsi="仿宋" w:eastAsia="仿宋" w:cs="仿宋"/>
          <w:color w:val="000000"/>
        </w:rPr>
        <w:t>-+330</w:t>
      </w:r>
      <w:r>
        <w:rPr>
          <w:rFonts w:ascii="仿宋" w:hAnsi="仿宋" w:eastAsia="仿宋" w:cs="仿宋"/>
          <w:color w:val="000000"/>
        </w:rPr>
        <w:t>m</w:t>
      </w:r>
      <w:r>
        <w:rPr>
          <w:rFonts w:hint="eastAsia" w:ascii="仿宋" w:hAnsi="仿宋" w:eastAsia="仿宋" w:cs="仿宋"/>
          <w:color w:val="000000"/>
        </w:rPr>
        <w:t>。主要含煤地层为石炭系太原群和二</w:t>
      </w:r>
      <w:r>
        <w:rPr>
          <w:rFonts w:hint="eastAsia" w:ascii="仿宋" w:hAnsi="仿宋" w:eastAsia="仿宋" w:cs="仿宋"/>
          <w:color w:val="000000"/>
          <w:kern w:val="0"/>
        </w:rPr>
        <w:t>叠</w:t>
      </w:r>
      <w:r>
        <w:rPr>
          <w:rFonts w:hint="eastAsia" w:ascii="仿宋" w:hAnsi="仿宋" w:eastAsia="仿宋" w:cs="仿宋"/>
          <w:color w:val="000000"/>
        </w:rPr>
        <w:t>系山西组，区内共含煤9层，其中可采煤2层，分别是5</w:t>
      </w:r>
      <w:r>
        <w:rPr>
          <w:rFonts w:hint="eastAsia" w:ascii="仿宋" w:hAnsi="仿宋" w:eastAsia="仿宋" w:cs="仿宋"/>
          <w:color w:val="000000"/>
          <w:vertAlign w:val="superscript"/>
        </w:rPr>
        <w:t>-2</w:t>
      </w:r>
      <w:r>
        <w:rPr>
          <w:rFonts w:hint="eastAsia" w:ascii="仿宋" w:hAnsi="仿宋" w:eastAsia="仿宋" w:cs="仿宋"/>
          <w:color w:val="000000"/>
        </w:rPr>
        <w:t>和10</w:t>
      </w:r>
      <w:r>
        <w:rPr>
          <w:rFonts w:hint="eastAsia" w:ascii="仿宋" w:hAnsi="仿宋" w:eastAsia="仿宋" w:cs="仿宋"/>
          <w:color w:val="000000"/>
          <w:vertAlign w:val="superscript"/>
        </w:rPr>
        <w:t>#</w:t>
      </w:r>
      <w:r>
        <w:rPr>
          <w:rFonts w:hint="eastAsia" w:ascii="仿宋" w:hAnsi="仿宋" w:eastAsia="仿宋" w:cs="仿宋"/>
          <w:color w:val="000000"/>
        </w:rPr>
        <w:t>煤层，5</w:t>
      </w:r>
      <w:r>
        <w:rPr>
          <w:rFonts w:hint="eastAsia" w:ascii="仿宋" w:hAnsi="仿宋" w:eastAsia="仿宋" w:cs="仿宋"/>
          <w:color w:val="000000"/>
          <w:vertAlign w:val="superscript"/>
        </w:rPr>
        <w:t>-2</w:t>
      </w:r>
      <w:r>
        <w:rPr>
          <w:rFonts w:hint="eastAsia" w:ascii="仿宋" w:hAnsi="仿宋" w:eastAsia="仿宋" w:cs="仿宋"/>
          <w:color w:val="000000"/>
        </w:rPr>
        <w:t>煤为主采煤层，10</w:t>
      </w:r>
      <w:r>
        <w:rPr>
          <w:rFonts w:hint="eastAsia" w:ascii="仿宋" w:hAnsi="仿宋" w:eastAsia="仿宋" w:cs="仿宋"/>
          <w:color w:val="000000"/>
          <w:vertAlign w:val="superscript"/>
        </w:rPr>
        <w:t>#</w:t>
      </w:r>
      <w:r>
        <w:rPr>
          <w:rFonts w:hint="eastAsia" w:ascii="仿宋" w:hAnsi="仿宋" w:eastAsia="仿宋" w:cs="仿宋"/>
          <w:color w:val="000000"/>
        </w:rPr>
        <w:t>煤为配采煤层，现开采煤层为5</w:t>
      </w:r>
      <w:r>
        <w:rPr>
          <w:rFonts w:hint="eastAsia" w:ascii="仿宋" w:hAnsi="仿宋" w:eastAsia="仿宋" w:cs="仿宋"/>
          <w:color w:val="000000"/>
          <w:vertAlign w:val="superscript"/>
        </w:rPr>
        <w:t>-2</w:t>
      </w:r>
      <w:r>
        <w:rPr>
          <w:rFonts w:hint="eastAsia" w:ascii="仿宋" w:hAnsi="仿宋" w:eastAsia="仿宋" w:cs="仿宋"/>
          <w:color w:val="000000"/>
        </w:rPr>
        <w:t>煤层,煤层平均厚度2.01米,全井田内煤层相对稳定，5</w:t>
      </w:r>
      <w:r>
        <w:rPr>
          <w:rFonts w:hint="eastAsia" w:ascii="仿宋" w:hAnsi="仿宋" w:eastAsia="仿宋" w:cs="仿宋"/>
          <w:color w:val="000000"/>
          <w:vertAlign w:val="superscript"/>
        </w:rPr>
        <w:t>-2</w:t>
      </w:r>
      <w:r>
        <w:rPr>
          <w:rFonts w:hint="eastAsia" w:ascii="仿宋" w:hAnsi="仿宋" w:eastAsia="仿宋" w:cs="仿宋"/>
          <w:color w:val="000000"/>
        </w:rPr>
        <w:t>煤保有地质储量</w:t>
      </w:r>
      <w:r>
        <w:rPr>
          <w:rFonts w:hint="eastAsia" w:ascii="仿宋" w:hAnsi="仿宋" w:eastAsia="仿宋" w:cs="仿宋"/>
        </w:rPr>
        <w:t>13.39Mt，可采储量8.11Mt。</w:t>
      </w:r>
    </w:p>
    <w:p>
      <w:pPr>
        <w:pStyle w:val="7"/>
        <w:adjustRightInd w:val="0"/>
        <w:snapToGrid w:val="0"/>
        <w:spacing w:line="600" w:lineRule="exact"/>
        <w:ind w:left="-6" w:firstLine="596"/>
        <w:rPr>
          <w:rFonts w:ascii="仿宋" w:hAnsi="仿宋" w:eastAsia="仿宋" w:cs="仿宋"/>
          <w:szCs w:val="24"/>
        </w:rPr>
      </w:pPr>
      <w:bookmarkStart w:id="2" w:name="_Toc281402468"/>
      <w:r>
        <w:rPr>
          <w:rFonts w:hint="eastAsia" w:ascii="仿宋" w:hAnsi="仿宋" w:eastAsia="仿宋" w:cs="仿宋"/>
          <w:b/>
          <w:szCs w:val="32"/>
        </w:rPr>
        <w:t>2.煤层特征</w:t>
      </w:r>
      <w:bookmarkEnd w:id="2"/>
      <w:r>
        <w:rPr>
          <w:rFonts w:hint="eastAsia" w:ascii="仿宋" w:hAnsi="仿宋" w:eastAsia="仿宋" w:cs="仿宋"/>
          <w:b/>
          <w:szCs w:val="32"/>
        </w:rPr>
        <w:t>。</w:t>
      </w:r>
      <w:r>
        <w:rPr>
          <w:rFonts w:ascii="仿宋" w:hAnsi="仿宋" w:eastAsia="仿宋" w:cs="仿宋"/>
          <w:szCs w:val="24"/>
        </w:rPr>
        <w:t>乔子梁煤矿</w:t>
      </w:r>
      <w:r>
        <w:rPr>
          <w:rFonts w:hint="eastAsia" w:ascii="仿宋" w:hAnsi="仿宋" w:eastAsia="仿宋" w:cs="仿宋"/>
          <w:szCs w:val="24"/>
        </w:rPr>
        <w:t>煤层</w:t>
      </w:r>
      <w:r>
        <w:rPr>
          <w:rFonts w:ascii="仿宋" w:hAnsi="仿宋" w:eastAsia="仿宋" w:cs="仿宋"/>
          <w:szCs w:val="24"/>
        </w:rPr>
        <w:t>总体为倾向北东的单斜构造，属半隐伏煤田</w:t>
      </w:r>
      <w:r>
        <w:rPr>
          <w:rFonts w:hint="eastAsia" w:ascii="仿宋" w:hAnsi="仿宋" w:eastAsia="仿宋" w:cs="仿宋"/>
          <w:szCs w:val="24"/>
        </w:rPr>
        <w:t>，</w:t>
      </w:r>
      <w:r>
        <w:rPr>
          <w:rFonts w:ascii="仿宋" w:hAnsi="仿宋" w:eastAsia="仿宋" w:cs="仿宋"/>
          <w:szCs w:val="24"/>
        </w:rPr>
        <w:t>其上</w:t>
      </w:r>
      <w:r>
        <w:rPr>
          <w:rFonts w:hint="eastAsia" w:ascii="仿宋" w:hAnsi="仿宋" w:eastAsia="仿宋" w:cs="仿宋"/>
          <w:szCs w:val="24"/>
        </w:rPr>
        <w:t>部</w:t>
      </w:r>
      <w:r>
        <w:rPr>
          <w:rFonts w:ascii="仿宋" w:hAnsi="仿宋" w:eastAsia="仿宋" w:cs="仿宋"/>
          <w:szCs w:val="24"/>
        </w:rPr>
        <w:t>发育宽缓的背向斜，地层倾角整体4-12°，局部可达24°；</w:t>
      </w:r>
      <w:r>
        <w:rPr>
          <w:rFonts w:hint="eastAsia" w:ascii="仿宋" w:hAnsi="仿宋" w:eastAsia="仿宋" w:cs="仿宋"/>
          <w:szCs w:val="24"/>
        </w:rPr>
        <w:t>地质构造受东北部枣庙逆断层与西南董家沟正断层挤压影响，褶曲翼部有比较发育的中小断层</w:t>
      </w:r>
      <w:r>
        <w:rPr>
          <w:rFonts w:ascii="仿宋" w:hAnsi="仿宋" w:eastAsia="仿宋" w:cs="仿宋"/>
          <w:szCs w:val="24"/>
        </w:rPr>
        <w:t>，</w:t>
      </w:r>
      <w:r>
        <w:rPr>
          <w:rFonts w:hint="eastAsia" w:ascii="仿宋" w:hAnsi="仿宋" w:eastAsia="仿宋" w:cs="仿宋"/>
          <w:szCs w:val="24"/>
        </w:rPr>
        <w:t>地质</w:t>
      </w:r>
      <w:r>
        <w:rPr>
          <w:rFonts w:ascii="仿宋" w:hAnsi="仿宋" w:eastAsia="仿宋" w:cs="仿宋"/>
          <w:szCs w:val="24"/>
        </w:rPr>
        <w:t>构造</w:t>
      </w:r>
      <w:r>
        <w:rPr>
          <w:rFonts w:hint="eastAsia" w:ascii="仿宋" w:hAnsi="仿宋" w:eastAsia="仿宋" w:cs="仿宋"/>
          <w:szCs w:val="24"/>
        </w:rPr>
        <w:t>较为</w:t>
      </w:r>
      <w:r>
        <w:rPr>
          <w:rFonts w:ascii="仿宋" w:hAnsi="仿宋" w:eastAsia="仿宋" w:cs="仿宋"/>
          <w:szCs w:val="24"/>
        </w:rPr>
        <w:t>复杂</w:t>
      </w:r>
      <w:bookmarkStart w:id="3" w:name="_Toc495941738"/>
      <w:bookmarkStart w:id="4" w:name="_Toc497322884"/>
      <w:r>
        <w:rPr>
          <w:rFonts w:hint="eastAsia" w:ascii="仿宋" w:hAnsi="仿宋" w:eastAsia="仿宋" w:cs="仿宋"/>
          <w:szCs w:val="24"/>
        </w:rPr>
        <w:t>，</w:t>
      </w:r>
      <w:r>
        <w:rPr>
          <w:rFonts w:ascii="仿宋" w:hAnsi="仿宋" w:eastAsia="仿宋" w:cs="仿宋"/>
          <w:szCs w:val="24"/>
        </w:rPr>
        <w:t>乔子梁煤矿采矿证批准开采煤层为5</w:t>
      </w:r>
      <w:r>
        <w:rPr>
          <w:rFonts w:ascii="仿宋" w:hAnsi="仿宋" w:eastAsia="仿宋" w:cs="仿宋"/>
          <w:szCs w:val="24"/>
          <w:vertAlign w:val="superscript"/>
        </w:rPr>
        <w:t>-2</w:t>
      </w:r>
      <w:r>
        <w:rPr>
          <w:rFonts w:ascii="仿宋" w:hAnsi="仿宋" w:eastAsia="仿宋" w:cs="仿宋"/>
          <w:szCs w:val="24"/>
        </w:rPr>
        <w:t>号煤层，区内10</w:t>
      </w:r>
      <w:r>
        <w:rPr>
          <w:rFonts w:hint="eastAsia" w:ascii="仿宋" w:hAnsi="仿宋" w:eastAsia="仿宋" w:cs="仿宋"/>
          <w:szCs w:val="24"/>
          <w:vertAlign w:val="superscript"/>
        </w:rPr>
        <w:t>#</w:t>
      </w:r>
      <w:r>
        <w:rPr>
          <w:rFonts w:ascii="仿宋" w:hAnsi="仿宋" w:eastAsia="仿宋" w:cs="仿宋"/>
          <w:szCs w:val="24"/>
        </w:rPr>
        <w:t>煤层</w:t>
      </w:r>
      <w:r>
        <w:rPr>
          <w:rFonts w:hint="eastAsia" w:ascii="仿宋" w:hAnsi="仿宋" w:eastAsia="仿宋" w:cs="仿宋"/>
          <w:szCs w:val="24"/>
        </w:rPr>
        <w:t>局部</w:t>
      </w:r>
      <w:r>
        <w:rPr>
          <w:rFonts w:ascii="仿宋" w:hAnsi="仿宋" w:eastAsia="仿宋" w:cs="仿宋"/>
          <w:szCs w:val="24"/>
        </w:rPr>
        <w:t>可采</w:t>
      </w:r>
      <w:bookmarkEnd w:id="3"/>
      <w:bookmarkEnd w:id="4"/>
      <w:r>
        <w:rPr>
          <w:rFonts w:ascii="仿宋" w:hAnsi="仿宋" w:eastAsia="仿宋" w:cs="仿宋"/>
          <w:szCs w:val="24"/>
        </w:rPr>
        <w:t>。</w:t>
      </w:r>
    </w:p>
    <w:p>
      <w:pPr>
        <w:ind w:firstLine="596"/>
        <w:rPr>
          <w:rFonts w:ascii="仿宋" w:hAnsi="仿宋" w:eastAsia="仿宋" w:cs="仿宋"/>
          <w:color w:val="000000"/>
        </w:rPr>
      </w:pPr>
      <w:bookmarkStart w:id="5" w:name="_Toc281402469"/>
      <w:r>
        <w:rPr>
          <w:rFonts w:hint="eastAsia" w:ascii="仿宋" w:hAnsi="仿宋" w:eastAsia="仿宋" w:cs="仿宋"/>
          <w:b/>
          <w:color w:val="000000"/>
        </w:rPr>
        <w:t>5</w:t>
      </w:r>
      <w:r>
        <w:rPr>
          <w:rFonts w:hint="eastAsia" w:ascii="仿宋" w:hAnsi="仿宋" w:eastAsia="仿宋" w:cs="仿宋"/>
          <w:b/>
          <w:color w:val="000000"/>
          <w:vertAlign w:val="superscript"/>
        </w:rPr>
        <w:t>-2</w:t>
      </w:r>
      <w:r>
        <w:rPr>
          <w:rFonts w:hint="eastAsia" w:ascii="仿宋" w:hAnsi="仿宋" w:eastAsia="仿宋" w:cs="仿宋"/>
          <w:b/>
          <w:color w:val="000000"/>
        </w:rPr>
        <w:t>煤层直接顶：</w:t>
      </w:r>
      <w:r>
        <w:rPr>
          <w:rFonts w:hint="eastAsia" w:ascii="仿宋" w:hAnsi="仿宋" w:eastAsia="仿宋" w:cs="仿宋"/>
          <w:color w:val="000000"/>
        </w:rPr>
        <w:t>主要为砂质泥岩或泥岩。</w:t>
      </w:r>
      <w:r>
        <w:rPr>
          <w:rFonts w:ascii="仿宋" w:hAnsi="仿宋" w:eastAsia="仿宋" w:cs="仿宋"/>
          <w:color w:val="000000"/>
        </w:rPr>
        <w:t>厚度0</w:t>
      </w:r>
      <w:r>
        <w:rPr>
          <w:rFonts w:hint="eastAsia" w:ascii="仿宋" w:hAnsi="仿宋" w:eastAsia="仿宋" w:cs="仿宋"/>
          <w:color w:val="000000"/>
        </w:rPr>
        <w:t>-</w:t>
      </w:r>
      <w:r>
        <w:rPr>
          <w:rFonts w:ascii="仿宋" w:hAnsi="仿宋" w:eastAsia="仿宋" w:cs="仿宋"/>
          <w:color w:val="000000"/>
        </w:rPr>
        <w:t>1</w:t>
      </w:r>
      <w:r>
        <w:rPr>
          <w:rFonts w:hint="eastAsia" w:ascii="仿宋" w:hAnsi="仿宋" w:eastAsia="仿宋" w:cs="仿宋"/>
          <w:color w:val="000000"/>
        </w:rPr>
        <w:t>3</w:t>
      </w:r>
      <w:r>
        <w:rPr>
          <w:rFonts w:ascii="仿宋" w:hAnsi="仿宋" w:eastAsia="仿宋" w:cs="仿宋"/>
          <w:color w:val="000000"/>
        </w:rPr>
        <w:t>.</w:t>
      </w:r>
      <w:r>
        <w:rPr>
          <w:rFonts w:hint="eastAsia" w:ascii="仿宋" w:hAnsi="仿宋" w:eastAsia="仿宋" w:cs="仿宋"/>
          <w:color w:val="000000"/>
        </w:rPr>
        <w:t>33</w:t>
      </w:r>
      <w:r>
        <w:rPr>
          <w:rFonts w:ascii="仿宋" w:hAnsi="仿宋" w:eastAsia="仿宋" w:cs="仿宋"/>
          <w:color w:val="000000"/>
        </w:rPr>
        <w:t>m</w:t>
      </w:r>
      <w:r>
        <w:rPr>
          <w:rFonts w:hint="eastAsia" w:ascii="仿宋" w:hAnsi="仿宋" w:eastAsia="仿宋" w:cs="仿宋"/>
          <w:color w:val="000000"/>
        </w:rPr>
        <w:t>，平均2.14m，在井田北部和南部为粉砂岩或细砂岩，较坚硬。</w:t>
      </w:r>
    </w:p>
    <w:p>
      <w:pPr>
        <w:pStyle w:val="7"/>
        <w:widowControl/>
        <w:overflowPunct w:val="0"/>
        <w:autoSpaceDE w:val="0"/>
        <w:autoSpaceDN w:val="0"/>
        <w:spacing w:line="600" w:lineRule="exact"/>
        <w:ind w:firstLine="596"/>
        <w:rPr>
          <w:rFonts w:ascii="仿宋" w:hAnsi="仿宋" w:eastAsia="仿宋" w:cs="仿宋"/>
          <w:szCs w:val="32"/>
        </w:rPr>
      </w:pPr>
      <w:r>
        <w:rPr>
          <w:rFonts w:hint="eastAsia" w:ascii="仿宋" w:hAnsi="仿宋" w:eastAsia="仿宋" w:cs="仿宋"/>
          <w:b/>
          <w:szCs w:val="32"/>
        </w:rPr>
        <w:t>5</w:t>
      </w:r>
      <w:r>
        <w:rPr>
          <w:rFonts w:hint="eastAsia" w:ascii="仿宋" w:hAnsi="仿宋" w:eastAsia="仿宋" w:cs="仿宋"/>
          <w:b/>
          <w:kern w:val="0"/>
          <w:szCs w:val="32"/>
          <w:vertAlign w:val="superscript"/>
        </w:rPr>
        <w:t>-2</w:t>
      </w:r>
      <w:r>
        <w:rPr>
          <w:rFonts w:hint="eastAsia" w:ascii="仿宋" w:hAnsi="仿宋" w:eastAsia="仿宋" w:cs="仿宋"/>
          <w:b/>
          <w:szCs w:val="32"/>
        </w:rPr>
        <w:t>煤层基本顶：</w:t>
      </w:r>
      <w:r>
        <w:rPr>
          <w:rFonts w:hint="eastAsia" w:ascii="仿宋" w:hAnsi="仿宋" w:eastAsia="仿宋" w:cs="仿宋"/>
          <w:szCs w:val="32"/>
        </w:rPr>
        <w:t>为山西组底部细-中粗长石石英砂岩为主。厚1.08-23.89</w:t>
      </w:r>
      <w:r>
        <w:rPr>
          <w:rFonts w:ascii="仿宋" w:hAnsi="仿宋" w:eastAsia="仿宋" w:cs="仿宋"/>
          <w:szCs w:val="32"/>
        </w:rPr>
        <w:t>m</w:t>
      </w:r>
      <w:r>
        <w:rPr>
          <w:rFonts w:hint="eastAsia" w:ascii="仿宋" w:hAnsi="仿宋" w:eastAsia="仿宋" w:cs="仿宋"/>
          <w:szCs w:val="32"/>
        </w:rPr>
        <w:t>。基本顶为Ⅱ级来压显现明显的顶板。</w:t>
      </w:r>
    </w:p>
    <w:p>
      <w:pPr>
        <w:pStyle w:val="7"/>
        <w:widowControl/>
        <w:overflowPunct w:val="0"/>
        <w:autoSpaceDE w:val="0"/>
        <w:autoSpaceDN w:val="0"/>
        <w:spacing w:line="600" w:lineRule="exact"/>
        <w:ind w:firstLine="596"/>
        <w:rPr>
          <w:rFonts w:ascii="仿宋" w:hAnsi="仿宋" w:eastAsia="仿宋" w:cs="仿宋"/>
          <w:szCs w:val="32"/>
        </w:rPr>
      </w:pPr>
      <w:r>
        <w:rPr>
          <w:rFonts w:hint="eastAsia" w:ascii="仿宋" w:hAnsi="仿宋" w:eastAsia="仿宋" w:cs="仿宋"/>
          <w:b/>
          <w:szCs w:val="32"/>
        </w:rPr>
        <w:t>5</w:t>
      </w:r>
      <w:r>
        <w:rPr>
          <w:rFonts w:hint="eastAsia" w:ascii="仿宋" w:hAnsi="仿宋" w:eastAsia="仿宋" w:cs="仿宋"/>
          <w:b/>
          <w:kern w:val="0"/>
          <w:szCs w:val="32"/>
          <w:vertAlign w:val="superscript"/>
        </w:rPr>
        <w:t>-2</w:t>
      </w:r>
      <w:r>
        <w:rPr>
          <w:rFonts w:hint="eastAsia" w:ascii="仿宋" w:hAnsi="仿宋" w:eastAsia="仿宋" w:cs="仿宋"/>
          <w:b/>
          <w:szCs w:val="32"/>
        </w:rPr>
        <w:t>煤层底板：</w:t>
      </w:r>
      <w:r>
        <w:rPr>
          <w:rFonts w:hint="eastAsia" w:ascii="仿宋" w:hAnsi="仿宋" w:eastAsia="仿宋" w:cs="仿宋"/>
          <w:szCs w:val="32"/>
        </w:rPr>
        <w:t>多为浅灰色的铝土质泥岩，厚度0.21-8.55</w:t>
      </w:r>
      <w:r>
        <w:rPr>
          <w:rFonts w:ascii="仿宋" w:hAnsi="仿宋" w:eastAsia="仿宋" w:cs="仿宋"/>
          <w:szCs w:val="32"/>
        </w:rPr>
        <w:t>m</w:t>
      </w:r>
      <w:r>
        <w:rPr>
          <w:rFonts w:hint="eastAsia" w:ascii="仿宋" w:hAnsi="仿宋" w:eastAsia="仿宋" w:cs="仿宋"/>
          <w:szCs w:val="32"/>
        </w:rPr>
        <w:t>，局部为炭质泥岩，底板较软，遇水膨胀。</w:t>
      </w:r>
    </w:p>
    <w:p>
      <w:pPr>
        <w:ind w:firstLine="596"/>
        <w:rPr>
          <w:rFonts w:ascii="仿宋" w:hAnsi="仿宋" w:eastAsia="仿宋" w:cs="仿宋"/>
          <w:color w:val="000000"/>
          <w:szCs w:val="32"/>
        </w:rPr>
      </w:pPr>
      <w:r>
        <w:rPr>
          <w:rFonts w:hint="eastAsia" w:ascii="仿宋" w:hAnsi="仿宋" w:eastAsia="仿宋" w:cs="仿宋"/>
          <w:b/>
          <w:color w:val="000000"/>
          <w:szCs w:val="32"/>
        </w:rPr>
        <w:t>3.水文地质</w:t>
      </w:r>
      <w:bookmarkEnd w:id="5"/>
      <w:r>
        <w:rPr>
          <w:rFonts w:hint="eastAsia" w:ascii="仿宋" w:hAnsi="仿宋" w:eastAsia="仿宋" w:cs="仿宋"/>
          <w:b/>
          <w:color w:val="000000"/>
          <w:szCs w:val="32"/>
        </w:rPr>
        <w:t>。</w:t>
      </w:r>
      <w:bookmarkStart w:id="6" w:name="_Toc281402470"/>
      <w:r>
        <w:rPr>
          <w:rFonts w:hint="eastAsia" w:ascii="仿宋" w:hAnsi="仿宋" w:eastAsia="仿宋" w:cs="仿宋"/>
          <w:bCs/>
          <w:color w:val="000000"/>
          <w:szCs w:val="32"/>
        </w:rPr>
        <w:t>根据</w:t>
      </w:r>
      <w:r>
        <w:rPr>
          <w:rFonts w:hint="eastAsia" w:ascii="仿宋" w:hAnsi="仿宋" w:eastAsia="仿宋" w:cs="仿宋"/>
          <w:color w:val="000000" w:themeColor="text1"/>
          <w:szCs w:val="32"/>
          <w:u w:color="000000"/>
          <w14:textFill>
            <w14:solidFill>
              <w14:schemeClr w14:val="tx1"/>
            </w14:solidFill>
          </w14:textFill>
        </w:rPr>
        <w:t>陕西省一九四煤炭地质有限公司2017年11月编制的《乔子梁煤矿矿井水文地质类型划分报告》</w:t>
      </w:r>
      <w:r>
        <w:rPr>
          <w:rFonts w:hint="eastAsia" w:ascii="仿宋" w:hAnsi="仿宋" w:eastAsia="仿宋" w:cs="仿宋"/>
          <w:bCs/>
          <w:color w:val="000000"/>
          <w:szCs w:val="32"/>
        </w:rPr>
        <w:t>，该矿井水文地质类型划分为“中等”。矿井最大涌水量100</w:t>
      </w:r>
      <w:r>
        <w:rPr>
          <w:rFonts w:ascii="仿宋" w:hAnsi="仿宋" w:eastAsia="仿宋" w:cs="仿宋"/>
          <w:bCs/>
          <w:color w:val="000000"/>
          <w:szCs w:val="32"/>
        </w:rPr>
        <w:t>m</w:t>
      </w:r>
      <w:r>
        <w:rPr>
          <w:rFonts w:hint="eastAsia" w:ascii="仿宋" w:hAnsi="仿宋" w:eastAsia="仿宋" w:cs="仿宋"/>
          <w:bCs/>
          <w:color w:val="000000"/>
          <w:szCs w:val="32"/>
          <w:vertAlign w:val="superscript"/>
        </w:rPr>
        <w:t>3</w:t>
      </w:r>
      <w:r>
        <w:rPr>
          <w:rFonts w:hint="eastAsia" w:ascii="仿宋" w:hAnsi="仿宋" w:eastAsia="仿宋" w:cs="仿宋"/>
          <w:bCs/>
          <w:color w:val="000000"/>
          <w:szCs w:val="32"/>
        </w:rPr>
        <w:t>/</w:t>
      </w:r>
      <w:r>
        <w:rPr>
          <w:rFonts w:ascii="仿宋" w:hAnsi="仿宋" w:eastAsia="仿宋" w:cs="仿宋"/>
          <w:bCs/>
          <w:color w:val="000000"/>
          <w:szCs w:val="32"/>
        </w:rPr>
        <w:t>h</w:t>
      </w:r>
      <w:r>
        <w:rPr>
          <w:rFonts w:hint="eastAsia" w:ascii="仿宋" w:hAnsi="仿宋" w:eastAsia="仿宋" w:cs="仿宋"/>
          <w:bCs/>
          <w:color w:val="000000"/>
          <w:szCs w:val="32"/>
        </w:rPr>
        <w:t>，正常涌水量80</w:t>
      </w:r>
      <w:r>
        <w:rPr>
          <w:rFonts w:ascii="仿宋" w:hAnsi="仿宋" w:eastAsia="仿宋" w:cs="仿宋"/>
          <w:bCs/>
          <w:color w:val="000000"/>
          <w:szCs w:val="32"/>
        </w:rPr>
        <w:t>m</w:t>
      </w:r>
      <w:r>
        <w:rPr>
          <w:rFonts w:hint="eastAsia" w:ascii="仿宋" w:hAnsi="仿宋" w:eastAsia="仿宋" w:cs="仿宋"/>
          <w:bCs/>
          <w:color w:val="000000"/>
          <w:szCs w:val="32"/>
          <w:vertAlign w:val="superscript"/>
        </w:rPr>
        <w:t>3</w:t>
      </w:r>
      <w:r>
        <w:rPr>
          <w:rFonts w:hint="eastAsia" w:ascii="仿宋" w:hAnsi="仿宋" w:eastAsia="仿宋" w:cs="仿宋"/>
          <w:bCs/>
          <w:color w:val="000000"/>
          <w:szCs w:val="32"/>
        </w:rPr>
        <w:t>/</w:t>
      </w:r>
      <w:r>
        <w:rPr>
          <w:rFonts w:ascii="仿宋" w:hAnsi="仿宋" w:eastAsia="仿宋" w:cs="仿宋"/>
          <w:bCs/>
          <w:color w:val="000000"/>
          <w:szCs w:val="32"/>
        </w:rPr>
        <w:t>h</w:t>
      </w:r>
      <w:r>
        <w:rPr>
          <w:rFonts w:hint="eastAsia" w:ascii="仿宋" w:hAnsi="仿宋" w:eastAsia="仿宋" w:cs="仿宋"/>
          <w:color w:val="000000"/>
          <w:szCs w:val="32"/>
          <w:u w:color="000000"/>
        </w:rPr>
        <w:t>。</w:t>
      </w:r>
      <w:r>
        <w:rPr>
          <w:rFonts w:hint="eastAsia" w:ascii="仿宋" w:hAnsi="仿宋" w:eastAsia="仿宋" w:cs="仿宋"/>
          <w:bCs/>
          <w:color w:val="000000"/>
          <w:szCs w:val="32"/>
        </w:rPr>
        <w:t>井下主排水泵房及水仓布置在主、副斜井井底+530水平,水仓容积为1480</w:t>
      </w:r>
      <w:r>
        <w:rPr>
          <w:rFonts w:ascii="仿宋" w:hAnsi="仿宋" w:eastAsia="仿宋" w:cs="仿宋"/>
          <w:bCs/>
          <w:color w:val="000000"/>
          <w:szCs w:val="32"/>
        </w:rPr>
        <w:t>m</w:t>
      </w:r>
      <w:r>
        <w:rPr>
          <w:rFonts w:hint="eastAsia" w:ascii="仿宋" w:hAnsi="仿宋" w:eastAsia="仿宋" w:cs="仿宋"/>
          <w:bCs/>
          <w:color w:val="000000"/>
          <w:szCs w:val="32"/>
          <w:vertAlign w:val="superscript"/>
        </w:rPr>
        <w:t>3</w:t>
      </w:r>
      <w:r>
        <w:rPr>
          <w:rFonts w:hint="eastAsia" w:ascii="仿宋" w:hAnsi="仿宋" w:eastAsia="仿宋" w:cs="仿宋"/>
          <w:bCs/>
          <w:color w:val="000000"/>
          <w:szCs w:val="32"/>
        </w:rPr>
        <w:t>。</w:t>
      </w:r>
    </w:p>
    <w:p>
      <w:pPr>
        <w:snapToGrid w:val="0"/>
        <w:spacing w:line="560" w:lineRule="exact"/>
        <w:ind w:firstLine="596"/>
        <w:rPr>
          <w:rFonts w:ascii="仿宋_GB2312" w:eastAsia="仿宋_GB2312"/>
          <w:szCs w:val="32"/>
        </w:rPr>
      </w:pPr>
      <w:r>
        <w:rPr>
          <w:rFonts w:hint="eastAsia" w:ascii="仿宋" w:hAnsi="仿宋" w:eastAsia="仿宋" w:cs="仿宋"/>
          <w:b/>
          <w:szCs w:val="32"/>
        </w:rPr>
        <w:t>4.瓦斯、煤尘爆炸危险性、煤层自燃倾向性</w:t>
      </w:r>
      <w:bookmarkEnd w:id="6"/>
      <w:r>
        <w:rPr>
          <w:rFonts w:hint="eastAsia" w:ascii="仿宋" w:hAnsi="仿宋" w:eastAsia="仿宋" w:cs="仿宋"/>
          <w:b/>
          <w:szCs w:val="32"/>
        </w:rPr>
        <w:t>。</w:t>
      </w:r>
      <w:r>
        <w:rPr>
          <w:rFonts w:hint="eastAsia" w:ascii="仿宋_GB2312" w:eastAsia="仿宋_GB2312"/>
          <w:szCs w:val="32"/>
        </w:rPr>
        <w:t>根据陕西省一九四煤田地质有限公司2017年9月出具的《铜川乔子梁煤业有限公司煤矿地质报告（修编）》和2011、2014、2016、2018年的矿井瓦斯等级鉴定报告，以及陕西全安煤矿安全技术服务有限公司2020年10月出具的《铜川乔子梁煤业有限公司2020-2021年度瓦斯等级鉴定报告》，矿井瓦斯等级均鉴定为低瓦斯矿井，矿井瓦斯绝对涌出量最大值为3.08m</w:t>
      </w:r>
      <w:r>
        <w:rPr>
          <w:rFonts w:hint="eastAsia" w:ascii="仿宋_GB2312" w:eastAsia="仿宋_GB2312"/>
          <w:szCs w:val="32"/>
          <w:vertAlign w:val="superscript"/>
        </w:rPr>
        <w:t>3</w:t>
      </w:r>
      <w:r>
        <w:rPr>
          <w:rFonts w:hint="eastAsia" w:ascii="仿宋_GB2312" w:eastAsia="仿宋_GB2312"/>
          <w:szCs w:val="32"/>
        </w:rPr>
        <w:t>/min，瓦斯相对涌出量最大值为7.06m</w:t>
      </w:r>
      <w:r>
        <w:rPr>
          <w:rFonts w:hint="eastAsia" w:ascii="仿宋_GB2312" w:eastAsia="仿宋_GB2312"/>
          <w:szCs w:val="32"/>
          <w:vertAlign w:val="superscript"/>
        </w:rPr>
        <w:t>3</w:t>
      </w:r>
      <w:r>
        <w:rPr>
          <w:rFonts w:hint="eastAsia" w:ascii="仿宋_GB2312" w:eastAsia="仿宋_GB2312"/>
          <w:szCs w:val="32"/>
        </w:rPr>
        <w:t>/t。</w:t>
      </w:r>
    </w:p>
    <w:p>
      <w:pPr>
        <w:pStyle w:val="7"/>
        <w:adjustRightInd w:val="0"/>
        <w:snapToGrid w:val="0"/>
        <w:spacing w:line="600" w:lineRule="exact"/>
        <w:ind w:left="-6"/>
        <w:rPr>
          <w:rFonts w:ascii="仿宋" w:hAnsi="仿宋" w:eastAsia="仿宋" w:cs="仿宋"/>
          <w:szCs w:val="32"/>
        </w:rPr>
      </w:pPr>
      <w:r>
        <w:rPr>
          <w:rFonts w:hint="eastAsia" w:ascii="仿宋" w:hAnsi="仿宋" w:eastAsia="仿宋" w:cs="仿宋"/>
          <w:szCs w:val="32"/>
        </w:rPr>
        <w:t>根据陕西煤矿安全装备检测中心2011年4月7日对乔子梁煤矿5</w:t>
      </w:r>
      <w:r>
        <w:rPr>
          <w:rFonts w:hint="eastAsia" w:ascii="仿宋" w:hAnsi="仿宋" w:eastAsia="仿宋" w:cs="仿宋"/>
          <w:szCs w:val="32"/>
          <w:vertAlign w:val="superscript"/>
        </w:rPr>
        <w:t>-2</w:t>
      </w:r>
      <w:r>
        <w:rPr>
          <w:rFonts w:hint="eastAsia" w:ascii="仿宋" w:hAnsi="仿宋" w:eastAsia="仿宋" w:cs="仿宋"/>
          <w:szCs w:val="32"/>
        </w:rPr>
        <w:t>煤层煤尘爆炸性、煤自燃倾向性检验报告，该矿5</w:t>
      </w:r>
      <w:r>
        <w:rPr>
          <w:rFonts w:hint="eastAsia" w:ascii="仿宋" w:hAnsi="仿宋" w:eastAsia="仿宋" w:cs="仿宋"/>
          <w:szCs w:val="32"/>
          <w:vertAlign w:val="superscript"/>
        </w:rPr>
        <w:t>-2</w:t>
      </w:r>
      <w:r>
        <w:rPr>
          <w:rFonts w:hint="eastAsia" w:ascii="仿宋" w:hAnsi="仿宋" w:eastAsia="仿宋" w:cs="仿宋"/>
          <w:szCs w:val="32"/>
        </w:rPr>
        <w:t>煤层煤尘有爆炸危险性，该矿5</w:t>
      </w:r>
      <w:r>
        <w:rPr>
          <w:rFonts w:hint="eastAsia" w:ascii="仿宋" w:hAnsi="仿宋" w:eastAsia="仿宋" w:cs="仿宋"/>
          <w:szCs w:val="32"/>
          <w:vertAlign w:val="superscript"/>
        </w:rPr>
        <w:t>-2</w:t>
      </w:r>
      <w:r>
        <w:rPr>
          <w:rFonts w:hint="eastAsia" w:ascii="仿宋" w:hAnsi="仿宋" w:eastAsia="仿宋" w:cs="仿宋"/>
          <w:szCs w:val="32"/>
        </w:rPr>
        <w:t>煤层自燃倾向性属Ⅱ类自燃煤层。</w:t>
      </w:r>
    </w:p>
    <w:p>
      <w:pPr>
        <w:ind w:firstLine="596"/>
        <w:rPr>
          <w:rFonts w:ascii="仿宋" w:hAnsi="仿宋" w:eastAsia="仿宋" w:cs="仿宋"/>
          <w:color w:val="000000"/>
          <w:szCs w:val="32"/>
        </w:rPr>
      </w:pPr>
      <w:bookmarkStart w:id="7" w:name="_Toc281402471"/>
      <w:r>
        <w:rPr>
          <w:rFonts w:hint="eastAsia" w:ascii="仿宋" w:hAnsi="仿宋" w:eastAsia="仿宋" w:cs="仿宋"/>
          <w:b/>
          <w:color w:val="000000"/>
          <w:szCs w:val="32"/>
        </w:rPr>
        <w:t>5.其它自然灾害条件。</w:t>
      </w:r>
      <w:r>
        <w:rPr>
          <w:rFonts w:hint="eastAsia" w:ascii="仿宋" w:hAnsi="仿宋" w:eastAsia="仿宋" w:cs="仿宋"/>
          <w:color w:val="000000"/>
          <w:szCs w:val="32"/>
        </w:rPr>
        <w:t>本井田无冲击地压现象,本区属地温正常区。矿井未出现山体滑坡、泥石流等自然灾害。</w:t>
      </w:r>
    </w:p>
    <w:p>
      <w:pPr>
        <w:numPr>
          <w:ilvl w:val="0"/>
          <w:numId w:val="1"/>
        </w:numPr>
        <w:ind w:firstLine="596"/>
        <w:rPr>
          <w:rFonts w:ascii="仿宋" w:hAnsi="仿宋" w:eastAsia="仿宋" w:cs="仿宋"/>
          <w:b/>
          <w:bCs/>
          <w:color w:val="000000"/>
          <w:szCs w:val="32"/>
        </w:rPr>
      </w:pPr>
      <w:bookmarkStart w:id="8" w:name="_Toc7355058"/>
      <w:bookmarkStart w:id="9" w:name="_Toc447576036"/>
      <w:bookmarkStart w:id="10" w:name="_Toc432866180"/>
      <w:r>
        <w:rPr>
          <w:rFonts w:hint="eastAsia" w:ascii="仿宋" w:hAnsi="仿宋" w:eastAsia="仿宋" w:cs="仿宋"/>
          <w:b/>
          <w:bCs/>
          <w:color w:val="000000"/>
          <w:szCs w:val="32"/>
        </w:rPr>
        <w:t>矿井生产</w:t>
      </w:r>
      <w:bookmarkEnd w:id="7"/>
      <w:bookmarkEnd w:id="8"/>
      <w:bookmarkEnd w:id="9"/>
      <w:bookmarkEnd w:id="10"/>
      <w:r>
        <w:rPr>
          <w:rFonts w:hint="eastAsia" w:ascii="仿宋" w:hAnsi="仿宋" w:eastAsia="仿宋" w:cs="仿宋"/>
          <w:b/>
          <w:bCs/>
          <w:color w:val="000000"/>
          <w:szCs w:val="32"/>
        </w:rPr>
        <w:t>系统</w:t>
      </w:r>
    </w:p>
    <w:p>
      <w:pPr>
        <w:ind w:firstLine="596"/>
        <w:rPr>
          <w:rFonts w:ascii="仿宋" w:hAnsi="仿宋" w:eastAsia="仿宋" w:cs="仿宋"/>
          <w:color w:val="000000"/>
          <w:szCs w:val="32"/>
        </w:rPr>
      </w:pPr>
      <w:r>
        <w:rPr>
          <w:rFonts w:hint="eastAsia" w:ascii="仿宋" w:hAnsi="仿宋" w:eastAsia="仿宋" w:cs="仿宋"/>
          <w:b/>
          <w:bCs/>
          <w:color w:val="000000"/>
          <w:szCs w:val="32"/>
        </w:rPr>
        <w:t>1.开拓开采系统。</w:t>
      </w:r>
      <w:r>
        <w:rPr>
          <w:rFonts w:hint="eastAsia" w:ascii="仿宋" w:hAnsi="仿宋" w:eastAsia="仿宋" w:cs="仿宋"/>
          <w:color w:val="000000"/>
          <w:szCs w:val="32"/>
        </w:rPr>
        <w:t>矿井采用双斜井单水平开拓方式，共布置两个井筒，即主斜井、副斜井，主斜井装备胶带输送机担负矿井原煤提升任务，兼回风及安全出口,副斜井采用绞车担负人员和材料设备等辅助提升任务，兼进风及安全出口,在+530水平布置运输大巷、回风大巷，运输大巷采用机轨合一布置,采区采用上下山布置，59采区5</w:t>
      </w:r>
      <w:r>
        <w:rPr>
          <w:rFonts w:hint="eastAsia" w:ascii="仿宋" w:hAnsi="仿宋" w:eastAsia="仿宋" w:cs="仿宋"/>
          <w:color w:val="000000"/>
          <w:szCs w:val="32"/>
          <w:vertAlign w:val="superscript"/>
        </w:rPr>
        <w:t>-2</w:t>
      </w:r>
      <w:r>
        <w:rPr>
          <w:rFonts w:hint="eastAsia" w:ascii="仿宋" w:hAnsi="仿宋" w:eastAsia="仿宋" w:cs="仿宋"/>
          <w:color w:val="000000"/>
          <w:szCs w:val="32"/>
        </w:rPr>
        <w:t>煤层采用综采综掘工艺。</w:t>
      </w:r>
    </w:p>
    <w:p>
      <w:pPr>
        <w:adjustRightInd w:val="0"/>
        <w:snapToGrid w:val="0"/>
        <w:spacing w:line="560" w:lineRule="exact"/>
        <w:ind w:firstLine="594"/>
        <w:rPr>
          <w:rFonts w:ascii="仿宋_GB2312" w:eastAsia="仿宋_GB2312"/>
          <w:szCs w:val="32"/>
        </w:rPr>
      </w:pPr>
      <w:r>
        <w:rPr>
          <w:rFonts w:hint="eastAsia" w:ascii="仿宋_GB2312" w:eastAsia="仿宋_GB2312"/>
          <w:szCs w:val="32"/>
        </w:rPr>
        <w:t>事故发生前，井下布置有一个5902综采工作面（因着火已封闭）和59轨道下山上段掘进工作面、59轨道下山下段掘进工作面2个综掘工作面。</w:t>
      </w:r>
    </w:p>
    <w:p>
      <w:pPr>
        <w:pStyle w:val="2"/>
        <w:spacing w:after="0"/>
        <w:ind w:firstLine="596"/>
        <w:rPr>
          <w:rFonts w:ascii="仿宋" w:hAnsi="仿宋" w:eastAsia="仿宋" w:cs="仿宋"/>
          <w:szCs w:val="32"/>
          <w:lang w:eastAsia="zh-CN"/>
        </w:rPr>
      </w:pPr>
      <w:r>
        <w:rPr>
          <w:rFonts w:hint="eastAsia" w:ascii="仿宋" w:hAnsi="仿宋" w:eastAsia="仿宋" w:cs="仿宋"/>
          <w:b/>
          <w:bCs/>
          <w:color w:val="000000"/>
          <w:szCs w:val="32"/>
          <w:lang w:eastAsia="zh-CN"/>
        </w:rPr>
        <w:t>2.通风系统。</w:t>
      </w:r>
      <w:r>
        <w:rPr>
          <w:rFonts w:hint="eastAsia" w:ascii="仿宋" w:hAnsi="仿宋" w:eastAsia="仿宋" w:cs="仿宋"/>
          <w:color w:val="000000"/>
          <w:szCs w:val="32"/>
          <w:lang w:eastAsia="zh-CN"/>
        </w:rPr>
        <w:t>矿井采用中央并列式通风方式，抽出式通风方法，副斜井进风，主斜井回风，主斜井地面安装2台FBCDZ№20型2×160kW矿用防爆对旋轴流式通风机，一台工作，一台备用。</w:t>
      </w:r>
      <w:r>
        <w:rPr>
          <w:rFonts w:hint="eastAsia" w:ascii="仿宋" w:hAnsi="仿宋" w:eastAsia="仿宋" w:cs="仿宋"/>
          <w:szCs w:val="32"/>
          <w:lang w:eastAsia="zh-CN"/>
        </w:rPr>
        <w:t>目前矿井总进风量2450</w:t>
      </w:r>
      <w:r>
        <w:rPr>
          <w:rFonts w:ascii="仿宋" w:hAnsi="仿宋" w:eastAsia="仿宋" w:cs="仿宋"/>
          <w:szCs w:val="32"/>
          <w:lang w:eastAsia="zh-CN"/>
        </w:rPr>
        <w:t>m</w:t>
      </w:r>
      <w:r>
        <w:rPr>
          <w:rFonts w:hint="eastAsia" w:ascii="仿宋" w:hAnsi="仿宋" w:eastAsia="仿宋" w:cs="仿宋"/>
          <w:szCs w:val="32"/>
          <w:vertAlign w:val="superscript"/>
          <w:lang w:eastAsia="zh-CN"/>
        </w:rPr>
        <w:t>3</w:t>
      </w:r>
      <w:r>
        <w:rPr>
          <w:rFonts w:hint="eastAsia" w:ascii="仿宋" w:hAnsi="仿宋" w:eastAsia="仿宋" w:cs="仿宋"/>
          <w:szCs w:val="32"/>
          <w:lang w:eastAsia="zh-CN"/>
        </w:rPr>
        <w:t>/</w:t>
      </w:r>
      <w:r>
        <w:rPr>
          <w:rFonts w:ascii="仿宋" w:hAnsi="仿宋" w:eastAsia="仿宋" w:cs="仿宋"/>
          <w:szCs w:val="32"/>
          <w:lang w:eastAsia="zh-CN"/>
        </w:rPr>
        <w:t>min</w:t>
      </w:r>
      <w:r>
        <w:rPr>
          <w:rFonts w:hint="eastAsia" w:ascii="仿宋" w:hAnsi="仿宋" w:eastAsia="仿宋" w:cs="仿宋"/>
          <w:szCs w:val="32"/>
          <w:lang w:eastAsia="zh-CN"/>
        </w:rPr>
        <w:t>，总回风量2530</w:t>
      </w:r>
      <w:r>
        <w:rPr>
          <w:rFonts w:ascii="仿宋" w:hAnsi="仿宋" w:eastAsia="仿宋" w:cs="仿宋"/>
          <w:szCs w:val="32"/>
          <w:lang w:eastAsia="zh-CN"/>
        </w:rPr>
        <w:t>m</w:t>
      </w:r>
      <w:r>
        <w:rPr>
          <w:rFonts w:hint="eastAsia" w:ascii="仿宋" w:hAnsi="仿宋" w:eastAsia="仿宋" w:cs="仿宋"/>
          <w:szCs w:val="32"/>
          <w:vertAlign w:val="superscript"/>
          <w:lang w:eastAsia="zh-CN"/>
        </w:rPr>
        <w:t>3</w:t>
      </w:r>
      <w:r>
        <w:rPr>
          <w:rFonts w:hint="eastAsia" w:ascii="仿宋" w:hAnsi="仿宋" w:eastAsia="仿宋" w:cs="仿宋"/>
          <w:szCs w:val="32"/>
          <w:lang w:eastAsia="zh-CN"/>
        </w:rPr>
        <w:t>/</w:t>
      </w:r>
      <w:r>
        <w:rPr>
          <w:rFonts w:ascii="仿宋" w:hAnsi="仿宋" w:eastAsia="仿宋" w:cs="仿宋"/>
          <w:szCs w:val="32"/>
          <w:lang w:eastAsia="zh-CN"/>
        </w:rPr>
        <w:t>min</w:t>
      </w:r>
      <w:r>
        <w:rPr>
          <w:rFonts w:hint="eastAsia" w:ascii="仿宋" w:hAnsi="仿宋" w:eastAsia="仿宋" w:cs="仿宋"/>
          <w:szCs w:val="32"/>
          <w:lang w:eastAsia="zh-CN"/>
        </w:rPr>
        <w:t>，采煤工作面采用全负压“U”型通风方式，采煤工作面于2020年4月因采空区着火沿两顺槽口封闭，掘进工作面采用局部通风机压入式通风，井下主要硐室均采用独立通风。</w:t>
      </w:r>
    </w:p>
    <w:p>
      <w:pPr>
        <w:ind w:firstLine="596"/>
        <w:rPr>
          <w:rFonts w:ascii="仿宋" w:hAnsi="仿宋" w:eastAsia="仿宋" w:cs="仿宋"/>
          <w:color w:val="000000"/>
          <w:szCs w:val="32"/>
        </w:rPr>
      </w:pPr>
      <w:r>
        <w:rPr>
          <w:rFonts w:hint="eastAsia" w:ascii="仿宋" w:hAnsi="仿宋" w:eastAsia="仿宋" w:cs="仿宋"/>
          <w:b/>
          <w:bCs/>
          <w:color w:val="000000"/>
          <w:szCs w:val="32"/>
        </w:rPr>
        <w:t>3.瓦斯防治系统。</w:t>
      </w:r>
      <w:r>
        <w:rPr>
          <w:rFonts w:hint="eastAsia" w:ascii="仿宋" w:hAnsi="仿宋" w:eastAsia="仿宋" w:cs="仿宋"/>
          <w:bCs/>
          <w:color w:val="000000"/>
          <w:szCs w:val="32"/>
        </w:rPr>
        <w:t>该矿属低瓦斯矿井，采用风排瓦斯、监测监控及人工巡检相结合的瓦斯综合防治措施。矿井装备有</w:t>
      </w:r>
      <w:r>
        <w:rPr>
          <w:rFonts w:hint="eastAsia" w:ascii="仿宋" w:hAnsi="仿宋" w:eastAsia="仿宋" w:cs="仿宋"/>
          <w:color w:val="000000"/>
          <w:szCs w:val="32"/>
        </w:rPr>
        <w:t>KJ70X型</w:t>
      </w:r>
      <w:r>
        <w:rPr>
          <w:rFonts w:hint="eastAsia" w:ascii="仿宋" w:hAnsi="仿宋" w:eastAsia="仿宋" w:cs="仿宋"/>
          <w:bCs/>
          <w:color w:val="000000"/>
          <w:szCs w:val="32"/>
        </w:rPr>
        <w:t>监测监控系统，对矿井采掘工作面及硐室瓦斯情况实现实时动态监测。矿井建立有瓦斯巡回检查制度，配备有专职瓦斯检查员3名，按照每月编制的瓦斯检查点及检查计划分三班专人专职对井下工作地点瓦斯进行检查</w:t>
      </w:r>
      <w:r>
        <w:rPr>
          <w:rFonts w:hint="eastAsia" w:ascii="仿宋" w:hAnsi="仿宋" w:eastAsia="仿宋" w:cs="仿宋"/>
          <w:szCs w:val="32"/>
        </w:rPr>
        <w:t>。</w:t>
      </w:r>
    </w:p>
    <w:p>
      <w:pPr>
        <w:ind w:firstLine="596"/>
        <w:rPr>
          <w:rFonts w:ascii="仿宋" w:hAnsi="仿宋" w:eastAsia="仿宋" w:cs="仿宋"/>
          <w:color w:val="000000"/>
          <w:szCs w:val="32"/>
        </w:rPr>
      </w:pPr>
      <w:r>
        <w:rPr>
          <w:rFonts w:hint="eastAsia" w:ascii="仿宋" w:hAnsi="仿宋" w:eastAsia="仿宋" w:cs="仿宋"/>
          <w:b/>
          <w:bCs/>
          <w:color w:val="000000"/>
          <w:szCs w:val="32"/>
        </w:rPr>
        <w:t>4.粉尘防治、供水系统。</w:t>
      </w:r>
      <w:r>
        <w:rPr>
          <w:rFonts w:hint="eastAsia" w:ascii="仿宋" w:hAnsi="仿宋" w:eastAsia="仿宋" w:cs="仿宋"/>
          <w:color w:val="000000"/>
          <w:szCs w:val="32"/>
        </w:rPr>
        <w:t>防尘消防管路沿主、副斜井敷设，沿运输大巷、回风大巷、皮带下山、回风下山各敷设一趟无缝钢管供水消防管路，在井下设置有供水管网系统和装置，回采巷道均采用无缝钢管供水。</w:t>
      </w:r>
    </w:p>
    <w:p>
      <w:pPr>
        <w:adjustRightInd w:val="0"/>
        <w:snapToGrid w:val="0"/>
        <w:ind w:firstLine="594"/>
        <w:rPr>
          <w:rFonts w:ascii="仿宋" w:hAnsi="仿宋" w:eastAsia="仿宋" w:cs="仿宋"/>
          <w:color w:val="000000"/>
          <w:szCs w:val="32"/>
        </w:rPr>
      </w:pPr>
      <w:r>
        <w:rPr>
          <w:rFonts w:hint="eastAsia" w:ascii="仿宋" w:hAnsi="仿宋" w:eastAsia="仿宋" w:cs="仿宋"/>
          <w:color w:val="000000"/>
          <w:szCs w:val="32"/>
        </w:rPr>
        <w:t>在工业广场设有2座容积为400</w:t>
      </w:r>
      <w:r>
        <w:rPr>
          <w:rFonts w:ascii="仿宋" w:hAnsi="仿宋" w:eastAsia="仿宋" w:cs="仿宋"/>
          <w:color w:val="000000"/>
          <w:szCs w:val="32"/>
        </w:rPr>
        <w:t>m</w:t>
      </w:r>
      <w:r>
        <w:rPr>
          <w:rFonts w:hint="eastAsia" w:ascii="仿宋" w:hAnsi="仿宋" w:eastAsia="仿宋" w:cs="仿宋"/>
          <w:color w:val="000000"/>
          <w:szCs w:val="32"/>
          <w:vertAlign w:val="superscript"/>
        </w:rPr>
        <w:t>3</w:t>
      </w:r>
      <w:r>
        <w:rPr>
          <w:rFonts w:hint="eastAsia" w:ascii="仿宋" w:hAnsi="仿宋" w:eastAsia="仿宋" w:cs="仿宋"/>
          <w:color w:val="000000"/>
          <w:szCs w:val="32"/>
        </w:rPr>
        <w:t>的高位水池，井下设有1座容积为300m</w:t>
      </w:r>
      <w:r>
        <w:rPr>
          <w:rFonts w:hint="eastAsia" w:ascii="仿宋" w:hAnsi="仿宋" w:eastAsia="仿宋" w:cs="仿宋"/>
          <w:color w:val="000000"/>
          <w:szCs w:val="32"/>
          <w:vertAlign w:val="superscript"/>
        </w:rPr>
        <w:t>3</w:t>
      </w:r>
      <w:r>
        <w:rPr>
          <w:rFonts w:hint="eastAsia" w:ascii="仿宋" w:hAnsi="仿宋" w:eastAsia="仿宋" w:cs="仿宋"/>
          <w:color w:val="000000"/>
          <w:szCs w:val="32"/>
        </w:rPr>
        <w:t>的消防洒水水池，水源引自</w:t>
      </w:r>
      <w:r>
        <w:rPr>
          <w:rFonts w:ascii="仿宋" w:hAnsi="仿宋" w:eastAsia="仿宋" w:cs="仿宋"/>
          <w:szCs w:val="32"/>
        </w:rPr>
        <w:t>+400</w:t>
      </w:r>
      <w:r>
        <w:rPr>
          <w:rFonts w:ascii="仿宋" w:hAnsi="仿宋" w:eastAsia="仿宋" w:cs="仿宋"/>
          <w:color w:val="000000"/>
          <w:szCs w:val="32"/>
        </w:rPr>
        <w:t>米腰泵房</w:t>
      </w:r>
      <w:r>
        <w:rPr>
          <w:rFonts w:hint="eastAsia" w:ascii="仿宋" w:hAnsi="仿宋" w:eastAsia="仿宋" w:cs="仿宋"/>
          <w:color w:val="000000"/>
          <w:szCs w:val="32"/>
        </w:rPr>
        <w:t>，</w:t>
      </w:r>
      <w:r>
        <w:rPr>
          <w:rFonts w:hint="eastAsia" w:ascii="仿宋" w:hAnsi="仿宋" w:eastAsia="仿宋" w:cs="仿宋"/>
          <w:szCs w:val="32"/>
        </w:rPr>
        <w:t>用于地面、井下消防、消尘洒水；</w:t>
      </w:r>
      <w:r>
        <w:rPr>
          <w:rFonts w:hint="eastAsia" w:ascii="仿宋" w:hAnsi="仿宋" w:eastAsia="仿宋" w:cs="仿宋"/>
          <w:color w:val="000000"/>
          <w:szCs w:val="32"/>
        </w:rPr>
        <w:t>供水施救系统沿主斜井井筒敷设井下，用DN100无缝钢管至井下作业地点、硐室等用水地点，在主要作业地点和人员较为集中的采掘工作面顺槽供水阀门处设有供水施救装置。</w:t>
      </w:r>
      <w:r>
        <w:rPr>
          <w:rFonts w:ascii="仿宋" w:hAnsi="仿宋" w:eastAsia="仿宋" w:cs="仿宋"/>
          <w:color w:val="000000"/>
          <w:szCs w:val="32"/>
        </w:rPr>
        <w:t>矿井</w:t>
      </w:r>
      <w:r>
        <w:rPr>
          <w:rFonts w:hint="eastAsia" w:ascii="仿宋" w:hAnsi="仿宋" w:eastAsia="仿宋" w:cs="仿宋"/>
          <w:color w:val="000000"/>
          <w:szCs w:val="32"/>
        </w:rPr>
        <w:t>在地面</w:t>
      </w:r>
      <w:r>
        <w:rPr>
          <w:rFonts w:ascii="仿宋" w:hAnsi="仿宋" w:eastAsia="仿宋" w:cs="仿宋"/>
          <w:color w:val="000000"/>
          <w:szCs w:val="32"/>
        </w:rPr>
        <w:t>设有空气压缩机3台，压风管路沿主斜井铺设，沿+530m轨道大巷铺设到井下各工作地点及压风自救点。</w:t>
      </w:r>
    </w:p>
    <w:p>
      <w:pPr>
        <w:ind w:firstLine="596"/>
        <w:rPr>
          <w:rFonts w:ascii="仿宋" w:hAnsi="仿宋" w:eastAsia="仿宋" w:cs="仿宋"/>
          <w:color w:val="000000"/>
          <w:szCs w:val="32"/>
        </w:rPr>
      </w:pPr>
      <w:r>
        <w:rPr>
          <w:rFonts w:hint="eastAsia" w:ascii="仿宋" w:hAnsi="仿宋" w:eastAsia="仿宋" w:cs="仿宋"/>
          <w:b/>
          <w:bCs/>
          <w:color w:val="000000"/>
          <w:szCs w:val="32"/>
        </w:rPr>
        <w:t>5.防灭火系统。</w:t>
      </w:r>
      <w:r>
        <w:rPr>
          <w:rFonts w:hint="eastAsia" w:ascii="仿宋" w:hAnsi="仿宋" w:eastAsia="仿宋" w:cs="仿宋"/>
          <w:color w:val="000000"/>
          <w:szCs w:val="32"/>
        </w:rPr>
        <w:t>现开采的5</w:t>
      </w:r>
      <w:r>
        <w:rPr>
          <w:rFonts w:hint="eastAsia" w:ascii="仿宋" w:hAnsi="仿宋" w:eastAsia="仿宋" w:cs="仿宋"/>
          <w:color w:val="000000"/>
          <w:szCs w:val="32"/>
          <w:vertAlign w:val="superscript"/>
        </w:rPr>
        <w:t>-2</w:t>
      </w:r>
      <w:r>
        <w:rPr>
          <w:rFonts w:hint="eastAsia" w:ascii="仿宋" w:hAnsi="仿宋" w:eastAsia="仿宋" w:cs="仿宋"/>
          <w:color w:val="000000"/>
          <w:szCs w:val="32"/>
        </w:rPr>
        <w:t>煤层为Ⅱ类自燃煤层，制定有外因火灾防灭火措施和内因火灾预防措施，建有井上、下消防材料库，在井下进风联巷安装2套ZHJ-80/1.2-G型和1套ZHJ-12/1.2型移动式防灭火注浆装置，规格21.6m</w:t>
      </w:r>
      <w:r>
        <w:rPr>
          <w:rFonts w:hint="eastAsia" w:ascii="仿宋" w:hAnsi="仿宋" w:eastAsia="仿宋" w:cs="仿宋"/>
          <w:color w:val="000000"/>
          <w:szCs w:val="32"/>
          <w:vertAlign w:val="superscript"/>
        </w:rPr>
        <w:t>2</w:t>
      </w:r>
      <w:r>
        <w:rPr>
          <w:rFonts w:hint="eastAsia" w:ascii="仿宋" w:hAnsi="仿宋" w:eastAsia="仿宋" w:cs="仿宋"/>
          <w:color w:val="000000"/>
          <w:szCs w:val="32"/>
        </w:rPr>
        <w:t>/h,灌浆管路管径采用DN100无缝钢管沿回风大巷敷设，采煤工作面沿顺槽敷设DN70无缝钢管，随采随灌。安装1套SG-2003型束管检测系统预测预报早期发火情况。</w:t>
      </w:r>
    </w:p>
    <w:p>
      <w:pPr>
        <w:ind w:firstLine="596"/>
        <w:rPr>
          <w:rFonts w:ascii="仿宋" w:hAnsi="仿宋" w:eastAsia="仿宋" w:cs="仿宋"/>
          <w:color w:val="000000"/>
          <w:szCs w:val="32"/>
        </w:rPr>
      </w:pPr>
      <w:r>
        <w:rPr>
          <w:rFonts w:hint="eastAsia" w:ascii="仿宋" w:hAnsi="仿宋" w:eastAsia="仿宋" w:cs="仿宋"/>
          <w:b/>
          <w:bCs/>
          <w:color w:val="000000"/>
          <w:szCs w:val="32"/>
        </w:rPr>
        <w:t>6.防治水系统。</w:t>
      </w:r>
      <w:r>
        <w:rPr>
          <w:rFonts w:hint="eastAsia" w:ascii="仿宋" w:hAnsi="仿宋" w:eastAsia="仿宋" w:cs="仿宋"/>
          <w:color w:val="000000"/>
          <w:szCs w:val="32"/>
        </w:rPr>
        <w:t>井下主排水泵房内安装3台MD155-67×9型矿用多级离心式水泵，一台工作，一台备用，一台检修。主排水管路沿管子道、主斜井井筒敷设2趟DN200无缝钢管，1趟工作，1趟备用。</w:t>
      </w:r>
    </w:p>
    <w:p>
      <w:pPr>
        <w:ind w:firstLine="596"/>
        <w:rPr>
          <w:rFonts w:ascii="仿宋" w:hAnsi="仿宋" w:eastAsia="仿宋" w:cs="仿宋"/>
          <w:color w:val="000000"/>
          <w:szCs w:val="32"/>
        </w:rPr>
      </w:pPr>
      <w:r>
        <w:rPr>
          <w:rFonts w:hint="eastAsia" w:ascii="仿宋" w:hAnsi="仿宋" w:eastAsia="仿宋" w:cs="仿宋"/>
          <w:b/>
          <w:bCs/>
          <w:color w:val="000000"/>
          <w:szCs w:val="32"/>
        </w:rPr>
        <w:t>7.监测监控、人员位置监测与通信系统。</w:t>
      </w:r>
    </w:p>
    <w:p>
      <w:pPr>
        <w:pStyle w:val="40"/>
        <w:spacing w:line="560" w:lineRule="exact"/>
        <w:ind w:firstLine="594"/>
        <w:rPr>
          <w:rFonts w:ascii="仿宋_GB2312" w:eastAsia="仿宋_GB2312"/>
          <w:b w:val="0"/>
          <w:sz w:val="32"/>
          <w:szCs w:val="32"/>
        </w:rPr>
      </w:pPr>
      <w:r>
        <w:rPr>
          <w:rFonts w:hint="eastAsia" w:ascii="仿宋_GB2312" w:eastAsia="仿宋_GB2312"/>
          <w:b w:val="0"/>
          <w:sz w:val="32"/>
          <w:szCs w:val="32"/>
        </w:rPr>
        <w:t>乔子梁煤矿于20</w:t>
      </w:r>
      <w:bookmarkStart w:id="11" w:name="_Hlk56321766"/>
      <w:r>
        <w:rPr>
          <w:rFonts w:hint="eastAsia" w:ascii="仿宋_GB2312" w:eastAsia="仿宋_GB2312"/>
          <w:b w:val="0"/>
          <w:sz w:val="32"/>
          <w:szCs w:val="32"/>
        </w:rPr>
        <w:t>19年</w:t>
      </w:r>
      <w:bookmarkEnd w:id="11"/>
      <w:r>
        <w:rPr>
          <w:rFonts w:hint="eastAsia" w:ascii="仿宋_GB2312" w:eastAsia="仿宋_GB2312"/>
          <w:b w:val="0"/>
          <w:sz w:val="32"/>
          <w:szCs w:val="32"/>
        </w:rPr>
        <w:t>9月进行安全监控系统升级改造，10月下旬基本完成改造，现有的监控数据为升级改造以后的数据。现装备有KJ70X型安全监测监控系统，地面中心站装备2套主机（1台工作、1台备用）。井下安装有甲烷、温度、一氧化碳、负压、开停、风筒等各类传感器。2020年10月17日，59轨道下山下段掘进工作面迎头甲烷传感器T1投入使用，10月24日设置了瓦斯电和风电闭锁，并安装了59轨道下山下段掘进工作面回风甲烷传感器T2。</w:t>
      </w:r>
    </w:p>
    <w:p>
      <w:pPr>
        <w:pStyle w:val="40"/>
        <w:spacing w:line="560" w:lineRule="exact"/>
        <w:ind w:firstLine="594"/>
        <w:rPr>
          <w:rFonts w:ascii="仿宋_GB2312" w:eastAsia="仿宋_GB2312"/>
          <w:b w:val="0"/>
          <w:sz w:val="32"/>
          <w:szCs w:val="32"/>
        </w:rPr>
      </w:pPr>
      <w:r>
        <w:rPr>
          <w:rFonts w:hint="eastAsia" w:ascii="仿宋_GB2312" w:eastAsia="仿宋_GB2312"/>
          <w:b w:val="0"/>
          <w:sz w:val="32"/>
          <w:szCs w:val="32"/>
        </w:rPr>
        <w:t>安装有KJ</w:t>
      </w:r>
      <w:r>
        <w:rPr>
          <w:rFonts w:ascii="仿宋_GB2312" w:eastAsia="仿宋_GB2312"/>
          <w:b w:val="0"/>
          <w:sz w:val="32"/>
          <w:szCs w:val="32"/>
        </w:rPr>
        <w:t>128A</w:t>
      </w:r>
      <w:r>
        <w:rPr>
          <w:rFonts w:hint="eastAsia" w:ascii="仿宋_GB2312" w:eastAsia="仿宋_GB2312"/>
          <w:b w:val="0"/>
          <w:sz w:val="32"/>
          <w:szCs w:val="32"/>
        </w:rPr>
        <w:t>型矿用人员定位系统。</w:t>
      </w:r>
    </w:p>
    <w:p>
      <w:pPr>
        <w:ind w:firstLine="594"/>
        <w:rPr>
          <w:rFonts w:ascii="仿宋" w:hAnsi="仿宋" w:eastAsia="仿宋" w:cs="仿宋"/>
          <w:color w:val="000000"/>
          <w:szCs w:val="32"/>
        </w:rPr>
      </w:pPr>
      <w:r>
        <w:rPr>
          <w:rFonts w:hint="eastAsia" w:ascii="仿宋" w:hAnsi="仿宋" w:eastAsia="仿宋" w:cs="仿宋"/>
          <w:color w:val="000000"/>
          <w:szCs w:val="32"/>
        </w:rPr>
        <w:t>矿井通讯采用HJD-80型数字程控交换机，设有KTJ-113型煤矿调度通信系统，共安装电话80门，安装有KT306型矿用调度通信广播系统。</w:t>
      </w:r>
    </w:p>
    <w:p>
      <w:pPr>
        <w:ind w:firstLine="596"/>
        <w:rPr>
          <w:rFonts w:ascii="仿宋" w:hAnsi="仿宋" w:eastAsia="仿宋" w:cs="仿宋"/>
          <w:color w:val="000000"/>
          <w:szCs w:val="32"/>
        </w:rPr>
      </w:pPr>
      <w:r>
        <w:rPr>
          <w:rFonts w:hint="eastAsia" w:ascii="仿宋" w:hAnsi="仿宋" w:eastAsia="仿宋" w:cs="仿宋"/>
          <w:b/>
          <w:bCs/>
          <w:color w:val="000000"/>
          <w:szCs w:val="32"/>
        </w:rPr>
        <w:t>8.运输、提升、供电系统。</w:t>
      </w:r>
      <w:r>
        <w:rPr>
          <w:rFonts w:hint="eastAsia" w:ascii="仿宋" w:hAnsi="仿宋" w:eastAsia="仿宋" w:cs="仿宋"/>
          <w:color w:val="000000"/>
          <w:szCs w:val="32"/>
        </w:rPr>
        <w:t>矿井主斜井铺设DTL100/24/2×400型带式输送机，主运大巷和59皮带下山铺设四部SSJ800/2×40型带式输送机，额定运输量400</w:t>
      </w:r>
      <w:r>
        <w:rPr>
          <w:rFonts w:ascii="仿宋" w:hAnsi="仿宋" w:eastAsia="仿宋" w:cs="仿宋"/>
          <w:color w:val="000000"/>
          <w:szCs w:val="32"/>
        </w:rPr>
        <w:t>t</w:t>
      </w:r>
      <w:r>
        <w:rPr>
          <w:rFonts w:hint="eastAsia" w:ascii="仿宋" w:hAnsi="仿宋" w:eastAsia="仿宋" w:cs="仿宋"/>
          <w:color w:val="000000"/>
          <w:szCs w:val="32"/>
        </w:rPr>
        <w:t>/</w:t>
      </w:r>
      <w:r>
        <w:rPr>
          <w:rFonts w:ascii="仿宋" w:hAnsi="仿宋" w:eastAsia="仿宋" w:cs="仿宋"/>
          <w:color w:val="000000"/>
          <w:szCs w:val="32"/>
        </w:rPr>
        <w:t>h</w:t>
      </w:r>
      <w:r>
        <w:rPr>
          <w:rFonts w:hint="eastAsia" w:ascii="仿宋" w:hAnsi="仿宋" w:eastAsia="仿宋" w:cs="仿宋"/>
          <w:color w:val="000000"/>
          <w:szCs w:val="32"/>
        </w:rPr>
        <w:t>。</w:t>
      </w:r>
    </w:p>
    <w:p>
      <w:pPr>
        <w:ind w:firstLine="594"/>
        <w:rPr>
          <w:rFonts w:ascii="仿宋" w:hAnsi="仿宋" w:eastAsia="仿宋" w:cs="仿宋"/>
          <w:color w:val="000000"/>
          <w:szCs w:val="32"/>
        </w:rPr>
      </w:pPr>
      <w:r>
        <w:rPr>
          <w:rFonts w:hint="eastAsia" w:ascii="仿宋" w:hAnsi="仿宋" w:eastAsia="仿宋" w:cs="仿宋"/>
          <w:color w:val="000000"/>
          <w:szCs w:val="32"/>
        </w:rPr>
        <w:t>副斜井提升采用2JK-3.5/20型矿用提升机，单滚筒串车提升方式；井下辅助运输在主运大巷采用架线电机车牵引列车运输材料、设备和人员；采区及工作面内部采用无极绳运输方式。</w:t>
      </w:r>
    </w:p>
    <w:p>
      <w:pPr>
        <w:ind w:firstLine="594"/>
        <w:rPr>
          <w:rFonts w:ascii="仿宋" w:hAnsi="仿宋" w:eastAsia="仿宋" w:cs="仿宋"/>
          <w:color w:val="000000"/>
          <w:szCs w:val="32"/>
        </w:rPr>
      </w:pPr>
      <w:r>
        <w:rPr>
          <w:rFonts w:hint="eastAsia" w:ascii="仿宋" w:hAnsi="仿宋" w:eastAsia="仿宋" w:cs="仿宋"/>
          <w:color w:val="000000"/>
          <w:szCs w:val="32"/>
        </w:rPr>
        <w:t>矿井采用35kV双回路供电，在地面工业广场建有35/6kV变电所一座，双回路电源均引自王石凹35kV变电站不同母线段。</w:t>
      </w:r>
    </w:p>
    <w:p>
      <w:pPr>
        <w:ind w:firstLine="596"/>
        <w:rPr>
          <w:rFonts w:ascii="仿宋" w:hAnsi="仿宋" w:eastAsia="仿宋" w:cs="仿宋"/>
          <w:color w:val="000000"/>
          <w:szCs w:val="32"/>
        </w:rPr>
      </w:pPr>
      <w:r>
        <w:rPr>
          <w:rFonts w:hint="eastAsia" w:ascii="仿宋" w:hAnsi="仿宋" w:eastAsia="仿宋" w:cs="仿宋"/>
          <w:b/>
          <w:bCs/>
          <w:color w:val="000000"/>
          <w:szCs w:val="32"/>
        </w:rPr>
        <w:t>9.紧急避险与应急救援系统。</w:t>
      </w:r>
      <w:r>
        <w:rPr>
          <w:rFonts w:hint="eastAsia" w:ascii="仿宋" w:hAnsi="仿宋" w:eastAsia="仿宋" w:cs="仿宋"/>
          <w:color w:val="000000"/>
          <w:szCs w:val="32"/>
        </w:rPr>
        <w:t>矿井配备有ZYX-45型隔绝式压缩氧自救器</w:t>
      </w:r>
      <w:r>
        <w:rPr>
          <w:rFonts w:hint="eastAsia" w:ascii="仿宋" w:hAnsi="仿宋" w:eastAsia="仿宋" w:cs="仿宋"/>
          <w:szCs w:val="32"/>
        </w:rPr>
        <w:t>314</w:t>
      </w:r>
      <w:r>
        <w:rPr>
          <w:rFonts w:hint="eastAsia" w:ascii="仿宋" w:hAnsi="仿宋" w:eastAsia="仿宋" w:cs="仿宋"/>
          <w:color w:val="000000"/>
          <w:szCs w:val="32"/>
        </w:rPr>
        <w:t>台。矿井在井下共设两座永久避难硐室，在+530主运大巷3</w:t>
      </w:r>
      <w:r>
        <w:rPr>
          <w:rFonts w:hint="eastAsia" w:ascii="仿宋" w:hAnsi="仿宋" w:eastAsia="仿宋" w:cs="仿宋"/>
          <w:color w:val="000000"/>
          <w:szCs w:val="32"/>
          <w:vertAlign w:val="superscript"/>
        </w:rPr>
        <w:t>#</w:t>
      </w:r>
      <w:r>
        <w:rPr>
          <w:rFonts w:hint="eastAsia" w:ascii="仿宋" w:hAnsi="仿宋" w:eastAsia="仿宋" w:cs="仿宋"/>
          <w:color w:val="000000"/>
          <w:szCs w:val="32"/>
        </w:rPr>
        <w:t>联巷设1号永久避难硐室，可容纳65人，在+530运输大巷和59轨道巷交叉处设2号永久避难硐室，可容纳100人。矿井编制有《乔子梁煤矿生产安全事故应急预案》和《乔子梁煤矿2020年度灾害预防与处理计划》</w:t>
      </w:r>
      <w:r>
        <w:rPr>
          <w:rFonts w:hint="eastAsia" w:ascii="仿宋" w:hAnsi="仿宋" w:eastAsia="仿宋" w:cs="仿宋"/>
          <w:szCs w:val="32"/>
        </w:rPr>
        <w:t>（铜乔煤司字</w:t>
      </w:r>
      <w:r>
        <w:rPr>
          <w:rFonts w:hint="eastAsia" w:ascii="仿宋" w:hAnsi="仿宋" w:eastAsia="仿宋"/>
          <w:szCs w:val="32"/>
        </w:rPr>
        <w:t>〔2020〕</w:t>
      </w:r>
      <w:r>
        <w:rPr>
          <w:rFonts w:hint="eastAsia" w:ascii="仿宋" w:hAnsi="仿宋" w:eastAsia="仿宋" w:cs="仿宋"/>
          <w:szCs w:val="32"/>
        </w:rPr>
        <w:t>12号），</w:t>
      </w:r>
      <w:r>
        <w:rPr>
          <w:rFonts w:hint="eastAsia" w:ascii="仿宋" w:hAnsi="仿宋" w:eastAsia="仿宋" w:cs="仿宋"/>
          <w:color w:val="000000"/>
          <w:szCs w:val="32"/>
        </w:rPr>
        <w:t>为矿井安全事故救援、灾害预防和处理提供指导。</w:t>
      </w:r>
    </w:p>
    <w:p>
      <w:pPr>
        <w:adjustRightInd w:val="0"/>
        <w:snapToGrid w:val="0"/>
        <w:ind w:firstLine="594"/>
        <w:rPr>
          <w:rFonts w:ascii="仿宋" w:hAnsi="仿宋" w:eastAsia="仿宋" w:cs="仿宋"/>
          <w:color w:val="000000"/>
          <w:szCs w:val="32"/>
        </w:rPr>
      </w:pPr>
      <w:r>
        <w:rPr>
          <w:rFonts w:ascii="仿宋" w:hAnsi="仿宋" w:eastAsia="仿宋" w:cs="仿宋"/>
          <w:color w:val="000000"/>
          <w:szCs w:val="32"/>
        </w:rPr>
        <w:t>乔子梁煤</w:t>
      </w:r>
      <w:r>
        <w:rPr>
          <w:rFonts w:hint="eastAsia" w:ascii="仿宋" w:hAnsi="仿宋" w:eastAsia="仿宋" w:cs="仿宋"/>
          <w:color w:val="000000"/>
          <w:szCs w:val="32"/>
        </w:rPr>
        <w:t>矿于</w:t>
      </w:r>
      <w:r>
        <w:rPr>
          <w:rFonts w:ascii="仿宋" w:hAnsi="仿宋" w:eastAsia="仿宋" w:cs="仿宋"/>
          <w:color w:val="000000"/>
          <w:szCs w:val="32"/>
        </w:rPr>
        <w:t>2017年3月编制了《铜川乔子梁煤业有限公司隐蔽致灾因素普查报告》，</w:t>
      </w:r>
      <w:r>
        <w:rPr>
          <w:rFonts w:hint="eastAsia" w:ascii="仿宋" w:hAnsi="仿宋" w:eastAsia="仿宋" w:cs="仿宋"/>
          <w:color w:val="000000"/>
          <w:szCs w:val="32"/>
        </w:rPr>
        <w:t>对煤矿主要隐蔽致灾因素进行了普查，对矿井隐蔽致灾因素提出了防范措施，</w:t>
      </w:r>
      <w:r>
        <w:rPr>
          <w:rFonts w:ascii="仿宋" w:hAnsi="仿宋" w:eastAsia="仿宋" w:cs="仿宋"/>
          <w:color w:val="000000"/>
          <w:szCs w:val="32"/>
        </w:rPr>
        <w:t>矿方组织相关专家进行了评审。</w:t>
      </w:r>
    </w:p>
    <w:p>
      <w:pPr>
        <w:ind w:firstLine="594"/>
        <w:rPr>
          <w:rFonts w:ascii="仿宋" w:hAnsi="仿宋" w:eastAsia="仿宋" w:cs="仿宋"/>
          <w:color w:val="000000"/>
          <w:szCs w:val="32"/>
        </w:rPr>
      </w:pPr>
      <w:r>
        <w:rPr>
          <w:rFonts w:hint="eastAsia" w:ascii="仿宋" w:hAnsi="仿宋" w:eastAsia="仿宋" w:cs="仿宋"/>
          <w:color w:val="000000"/>
          <w:szCs w:val="32"/>
        </w:rPr>
        <w:t>乔子梁煤矿成立有应急救援指挥部，应急救援指挥部设在矿调度室,总指挥为矿长，副总指挥为总工程师、分管生产、机电、安全的副矿长，成员为各科室负责人。与陕西陕煤铜川矿业有限公司矿山救护大队签订有《救护协议书》，由陕煤铜川矿业有限公司矿山救护大队承担乔子梁煤矿救护任务。</w:t>
      </w:r>
    </w:p>
    <w:p>
      <w:pPr>
        <w:ind w:firstLine="743" w:firstLineChars="250"/>
        <w:rPr>
          <w:rFonts w:ascii="仿宋" w:hAnsi="仿宋" w:eastAsia="仿宋" w:cs="仿宋"/>
          <w:bCs/>
          <w:szCs w:val="32"/>
        </w:rPr>
      </w:pPr>
      <w:r>
        <w:rPr>
          <w:rFonts w:hint="eastAsia" w:ascii="仿宋" w:hAnsi="仿宋" w:eastAsia="仿宋" w:cs="仿宋"/>
          <w:b/>
          <w:bCs/>
          <w:szCs w:val="32"/>
        </w:rPr>
        <w:t>10.安全生产管理机构。</w:t>
      </w:r>
      <w:r>
        <w:rPr>
          <w:rFonts w:hint="eastAsia" w:ascii="仿宋" w:hAnsi="仿宋" w:eastAsia="仿宋" w:cs="仿宋"/>
          <w:bCs/>
          <w:szCs w:val="32"/>
        </w:rPr>
        <w:t>公司法人、董事长张国明，保证煤矿安全投入所需资金，证照合法有效，煤矿生产经营管理全权委托矿长张应忠负责。</w:t>
      </w:r>
    </w:p>
    <w:p>
      <w:pPr>
        <w:ind w:firstLine="743" w:firstLineChars="250"/>
        <w:rPr>
          <w:rFonts w:ascii="仿宋" w:hAnsi="仿宋" w:eastAsia="仿宋" w:cs="仿宋"/>
          <w:szCs w:val="32"/>
        </w:rPr>
      </w:pPr>
      <w:r>
        <w:rPr>
          <w:rFonts w:hint="eastAsia" w:ascii="仿宋" w:hAnsi="仿宋" w:eastAsia="仿宋" w:cs="仿宋"/>
          <w:szCs w:val="32"/>
        </w:rPr>
        <w:t>矿井采用矿-科室-区队三级管理。设矿级领导5人，分别为：矿长、总工程师、生产副矿长、安全副矿长、机电副矿长各1名；矿长张应忠</w:t>
      </w:r>
      <w:bookmarkStart w:id="12" w:name="_Toc28622_WPSOffice_Level3"/>
      <w:bookmarkStart w:id="13" w:name="_Toc26637"/>
      <w:bookmarkStart w:id="14" w:name="_Toc484617179"/>
      <w:r>
        <w:rPr>
          <w:rFonts w:hint="eastAsia" w:ascii="仿宋" w:hAnsi="仿宋" w:eastAsia="仿宋" w:cs="仿宋"/>
          <w:szCs w:val="32"/>
        </w:rPr>
        <w:t>安全生产知识和管理能力考核合格</w:t>
      </w:r>
      <w:bookmarkEnd w:id="12"/>
      <w:bookmarkEnd w:id="13"/>
      <w:bookmarkEnd w:id="14"/>
      <w:r>
        <w:rPr>
          <w:rFonts w:hint="eastAsia" w:ascii="仿宋" w:hAnsi="仿宋" w:eastAsia="仿宋" w:cs="仿宋"/>
          <w:szCs w:val="32"/>
        </w:rPr>
        <w:t>，生产科室共设置5个，分别为技术科、机电科、通防科、安检科、综合调度室。生产区队为</w:t>
      </w:r>
      <w:r>
        <w:rPr>
          <w:rFonts w:hint="eastAsia" w:ascii="仿宋" w:hAnsi="仿宋" w:eastAsia="仿宋" w:cs="仿宋"/>
          <w:color w:val="000000" w:themeColor="text1"/>
          <w:szCs w:val="32"/>
          <w14:textFill>
            <w14:solidFill>
              <w14:schemeClr w14:val="tx1"/>
            </w14:solidFill>
          </w14:textFill>
        </w:rPr>
        <w:t>综掘队，综掘队下设掘一队和掘二队。矿井现有安全管理人员15人，矿井安全设施设计当中的特殊工种定员32人，实有25人，其中：煤矿安全监测监控员9人；煤矿安全检查员4人；煤矿瓦斯检查员3人；煤矿采掘机操作员4人；煤矿探放水员5人；无</w:t>
      </w:r>
      <w:r>
        <w:rPr>
          <w:rFonts w:hint="eastAsia" w:ascii="仿宋" w:hAnsi="仿宋" w:eastAsia="仿宋" w:cs="仿宋"/>
          <w:szCs w:val="32"/>
        </w:rPr>
        <w:t>煤矿瓦斯抽采员；无煤矿防突员。</w:t>
      </w:r>
    </w:p>
    <w:p>
      <w:pPr>
        <w:pStyle w:val="24"/>
        <w:ind w:firstLine="596"/>
        <w:rPr>
          <w:rFonts w:ascii="仿宋" w:hAnsi="仿宋" w:eastAsia="仿宋" w:cs="仿宋"/>
          <w:b/>
          <w:bCs/>
          <w:color w:val="auto"/>
          <w:kern w:val="2"/>
          <w:sz w:val="32"/>
          <w:szCs w:val="32"/>
        </w:rPr>
      </w:pPr>
      <w:r>
        <w:rPr>
          <w:rFonts w:hint="eastAsia" w:ascii="仿宋" w:hAnsi="仿宋" w:eastAsia="仿宋" w:cs="仿宋"/>
          <w:b/>
          <w:bCs/>
          <w:color w:val="auto"/>
          <w:kern w:val="2"/>
          <w:sz w:val="32"/>
          <w:szCs w:val="32"/>
        </w:rPr>
        <w:t>二、中介机构服务乔子梁煤矿情况</w:t>
      </w:r>
    </w:p>
    <w:p>
      <w:pPr>
        <w:snapToGrid w:val="0"/>
        <w:ind w:firstLine="594"/>
        <w:rPr>
          <w:rFonts w:ascii="仿宋" w:hAnsi="仿宋" w:eastAsia="仿宋" w:cs="仿宋"/>
          <w:b/>
          <w:bCs/>
          <w:color w:val="000000"/>
          <w:szCs w:val="32"/>
        </w:rPr>
      </w:pPr>
      <w:r>
        <w:rPr>
          <w:rFonts w:hint="eastAsia" w:ascii="仿宋" w:hAnsi="仿宋" w:eastAsia="仿宋" w:cs="仿宋"/>
          <w:color w:val="000000"/>
          <w:szCs w:val="32"/>
        </w:rPr>
        <w:t>（一）2017年12月，陕西秦安煤矿安全评价事务有限公司对乔子梁煤矿进行了安全现状评价，矿井安全现状评价结论为</w:t>
      </w:r>
      <w:r>
        <w:rPr>
          <w:rFonts w:hint="eastAsia" w:ascii="仿宋" w:hAnsi="仿宋" w:eastAsia="仿宋" w:cs="仿宋"/>
          <w:b/>
          <w:bCs/>
          <w:color w:val="000000"/>
          <w:szCs w:val="32"/>
        </w:rPr>
        <w:t>合格。</w:t>
      </w:r>
    </w:p>
    <w:p>
      <w:pPr>
        <w:snapToGrid w:val="0"/>
        <w:ind w:firstLine="594"/>
        <w:rPr>
          <w:rFonts w:ascii="仿宋" w:hAnsi="仿宋" w:eastAsia="仿宋" w:cs="仿宋"/>
          <w:color w:val="000000"/>
          <w:szCs w:val="32"/>
        </w:rPr>
      </w:pPr>
      <w:r>
        <w:rPr>
          <w:rFonts w:hint="eastAsia" w:ascii="仿宋" w:hAnsi="仿宋" w:eastAsia="仿宋" w:cs="仿宋"/>
          <w:color w:val="000000"/>
          <w:szCs w:val="32"/>
        </w:rPr>
        <w:t>（二）2020年9月，陕西全安煤矿安全技术服务有限公司对乔子梁煤矿瓦斯等级进行鉴定，出具的《矿井瓦斯等级鉴定报告》中鉴定结论为</w:t>
      </w:r>
      <w:r>
        <w:rPr>
          <w:rFonts w:hint="eastAsia" w:ascii="仿宋" w:hAnsi="仿宋" w:eastAsia="仿宋" w:cs="仿宋"/>
          <w:b/>
          <w:bCs/>
          <w:color w:val="000000"/>
          <w:szCs w:val="32"/>
        </w:rPr>
        <w:t>低瓦斯矿井</w:t>
      </w:r>
      <w:r>
        <w:rPr>
          <w:rFonts w:hint="eastAsia" w:ascii="仿宋" w:hAnsi="仿宋" w:eastAsia="仿宋" w:cs="仿宋"/>
          <w:color w:val="000000"/>
          <w:szCs w:val="32"/>
        </w:rPr>
        <w:t>。</w:t>
      </w:r>
    </w:p>
    <w:p>
      <w:pPr>
        <w:pStyle w:val="24"/>
        <w:ind w:firstLine="596"/>
        <w:rPr>
          <w:rFonts w:ascii="仿宋" w:hAnsi="仿宋" w:eastAsia="仿宋" w:cs="仿宋"/>
          <w:b/>
          <w:bCs/>
          <w:color w:val="auto"/>
          <w:kern w:val="2"/>
          <w:sz w:val="32"/>
          <w:szCs w:val="32"/>
        </w:rPr>
      </w:pPr>
      <w:r>
        <w:rPr>
          <w:rFonts w:hint="eastAsia" w:ascii="仿宋" w:hAnsi="仿宋" w:eastAsia="仿宋" w:cs="仿宋"/>
          <w:b/>
          <w:bCs/>
          <w:color w:val="auto"/>
          <w:kern w:val="2"/>
          <w:sz w:val="32"/>
          <w:szCs w:val="32"/>
        </w:rPr>
        <w:t>三、事故前矿井安全监管情况</w:t>
      </w:r>
    </w:p>
    <w:p>
      <w:pPr>
        <w:spacing w:line="560" w:lineRule="exact"/>
        <w:ind w:firstLine="596"/>
        <w:rPr>
          <w:rFonts w:ascii="仿宋" w:hAnsi="仿宋" w:eastAsia="仿宋" w:cs="仿宋"/>
          <w:b/>
          <w:bCs/>
          <w:szCs w:val="32"/>
        </w:rPr>
      </w:pPr>
      <w:r>
        <w:rPr>
          <w:rFonts w:hint="eastAsia" w:ascii="仿宋" w:hAnsi="仿宋" w:eastAsia="仿宋" w:cs="仿宋"/>
          <w:b/>
          <w:bCs/>
          <w:szCs w:val="32"/>
        </w:rPr>
        <w:t>（一）印台区煤炭局监管情况</w:t>
      </w:r>
    </w:p>
    <w:p>
      <w:pPr>
        <w:spacing w:line="600" w:lineRule="atLeast"/>
        <w:ind w:firstLine="594"/>
        <w:rPr>
          <w:rFonts w:ascii="仿宋" w:hAnsi="仿宋" w:eastAsia="仿宋" w:cs="仿宋"/>
          <w:color w:val="000000"/>
          <w:szCs w:val="32"/>
        </w:rPr>
      </w:pPr>
      <w:r>
        <w:rPr>
          <w:rFonts w:hint="eastAsia" w:ascii="仿宋" w:hAnsi="仿宋" w:eastAsia="仿宋" w:cs="仿宋"/>
          <w:color w:val="000000"/>
          <w:szCs w:val="32"/>
        </w:rPr>
        <w:t>2020年印台区煤炭局对乔子梁煤矿共检查23次，发现问题60条。较为重要安全检查工作5次，联合执法处罚55万元，停止井下作业3次，停止井下使用淘汰设备67台，停止井下提升运输系统1次。</w:t>
      </w:r>
    </w:p>
    <w:p>
      <w:pPr>
        <w:ind w:firstLine="594"/>
        <w:rPr>
          <w:rFonts w:ascii="仿宋" w:hAnsi="仿宋" w:eastAsia="仿宋" w:cs="仿宋"/>
          <w:color w:val="000000"/>
          <w:szCs w:val="32"/>
        </w:rPr>
      </w:pPr>
      <w:r>
        <w:rPr>
          <w:rFonts w:hint="eastAsia" w:ascii="仿宋" w:hAnsi="仿宋" w:eastAsia="仿宋" w:cs="仿宋"/>
          <w:color w:val="000000"/>
          <w:szCs w:val="32"/>
        </w:rPr>
        <w:t>2020年4月，乔子梁煤矿5902采煤工作面自然发火，区煤炭局组织应急局及陕煤铜川矿业公司专家组成工作专班，进驻该矿指导矿井防灭火工作，聘请铜川矿山救护大队对井下火情实地勘测，并由救护队实施封闭5902综采工作面。</w:t>
      </w:r>
    </w:p>
    <w:p>
      <w:pPr>
        <w:spacing w:line="600" w:lineRule="atLeast"/>
        <w:ind w:firstLine="594"/>
        <w:rPr>
          <w:rFonts w:ascii="仿宋" w:hAnsi="仿宋" w:eastAsia="仿宋" w:cs="仿宋"/>
          <w:szCs w:val="32"/>
        </w:rPr>
      </w:pPr>
      <w:r>
        <w:rPr>
          <w:rFonts w:hint="eastAsia" w:ascii="仿宋" w:hAnsi="仿宋" w:eastAsia="仿宋" w:cs="仿宋"/>
          <w:szCs w:val="32"/>
        </w:rPr>
        <w:t>2020年4月23日，铜川市印台区煤炭工业局组织区应急局、公安局、人社局对乔子梁煤矿进行复工验收，4月30日下发文件同意乔子梁煤矿恢复施工，要求严格按照批准的《开采设计》施工，认真组织59轨道下山的开拓工作，加强“一通三防”管理，严格按照《矿井2020年复工改造</w:t>
      </w:r>
      <w:r>
        <w:rPr>
          <w:rFonts w:hint="eastAsia" w:ascii="仿宋" w:hAnsi="仿宋" w:eastAsia="仿宋" w:cs="仿宋"/>
          <w:color w:val="000000" w:themeColor="text1"/>
          <w:szCs w:val="32"/>
          <w14:textFill>
            <w14:solidFill>
              <w14:schemeClr w14:val="tx1"/>
            </w14:solidFill>
          </w14:textFill>
        </w:rPr>
        <w:t>方案及安全技术措施</w:t>
      </w:r>
      <w:r>
        <w:rPr>
          <w:rFonts w:hint="eastAsia" w:ascii="仿宋" w:hAnsi="仿宋" w:eastAsia="仿宋" w:cs="仿宋"/>
          <w:szCs w:val="32"/>
        </w:rPr>
        <w:t>》积极开展5902采煤工作面的灭火工作。</w:t>
      </w:r>
    </w:p>
    <w:p>
      <w:pPr>
        <w:ind w:firstLine="594"/>
        <w:rPr>
          <w:rFonts w:ascii="仿宋" w:hAnsi="仿宋" w:eastAsia="仿宋" w:cs="仿宋"/>
          <w:color w:val="000000"/>
          <w:szCs w:val="32"/>
        </w:rPr>
      </w:pPr>
      <w:r>
        <w:rPr>
          <w:rFonts w:hint="eastAsia" w:ascii="仿宋" w:hAnsi="仿宋" w:eastAsia="仿宋" w:cs="仿宋"/>
          <w:color w:val="000000"/>
          <w:szCs w:val="32"/>
        </w:rPr>
        <w:t>2020年7月22日，区煤炭局对区安委办挂牌督办的“乔子梁煤矿使用国家明令禁止淘汰人车”隐患整改情况进行了复查，矿井副斜井人车系统改造工程已完成。报区安委办同意，8月4日该隐患销号。</w:t>
      </w:r>
    </w:p>
    <w:p>
      <w:pPr>
        <w:ind w:firstLine="594"/>
        <w:rPr>
          <w:rFonts w:ascii="仿宋" w:hAnsi="仿宋" w:eastAsia="仿宋" w:cs="仿宋"/>
          <w:color w:val="000000"/>
          <w:szCs w:val="32"/>
        </w:rPr>
      </w:pPr>
      <w:r>
        <w:rPr>
          <w:rFonts w:hint="eastAsia" w:ascii="仿宋" w:hAnsi="仿宋" w:eastAsia="仿宋" w:cs="仿宋"/>
          <w:color w:val="000000"/>
          <w:szCs w:val="32"/>
        </w:rPr>
        <w:t>2020年11月2日，区煤炭局对该矿开展煤矿安全专项整治三年行动阶段工作“回头看”。针对“59采取轨道下山下段综掘工作面刚开口，备用局扇未安装到位”。下达了《现场处理措施决定书》（铜印煤执现决定书﹝2020﹞A44号），要求煤矿立即停止作业，备用风机安装到位后组织作业。</w:t>
      </w:r>
    </w:p>
    <w:p>
      <w:pPr>
        <w:pStyle w:val="24"/>
        <w:spacing w:line="600" w:lineRule="atLeast"/>
        <w:ind w:firstLine="596"/>
        <w:rPr>
          <w:rFonts w:ascii="仿宋" w:hAnsi="仿宋" w:eastAsia="仿宋" w:cs="仿宋"/>
          <w:b/>
          <w:bCs/>
          <w:color w:val="auto"/>
          <w:kern w:val="2"/>
          <w:sz w:val="32"/>
          <w:szCs w:val="32"/>
        </w:rPr>
      </w:pPr>
      <w:r>
        <w:rPr>
          <w:rFonts w:hint="eastAsia" w:ascii="仿宋" w:hAnsi="仿宋" w:eastAsia="仿宋" w:cs="仿宋"/>
          <w:b/>
          <w:bCs/>
          <w:color w:val="auto"/>
          <w:kern w:val="2"/>
          <w:sz w:val="32"/>
          <w:szCs w:val="32"/>
        </w:rPr>
        <w:t>（二）印台区政府方面。</w:t>
      </w:r>
    </w:p>
    <w:p>
      <w:pPr>
        <w:spacing w:line="600" w:lineRule="atLeast"/>
        <w:ind w:firstLine="594"/>
        <w:rPr>
          <w:rFonts w:ascii="仿宋" w:hAnsi="仿宋" w:eastAsia="仿宋" w:cs="仿宋"/>
          <w:color w:val="000000"/>
          <w:szCs w:val="32"/>
        </w:rPr>
      </w:pPr>
      <w:r>
        <w:rPr>
          <w:rFonts w:hint="eastAsia" w:ascii="仿宋" w:hAnsi="仿宋" w:eastAsia="仿宋" w:cs="仿宋"/>
          <w:color w:val="000000"/>
          <w:szCs w:val="32"/>
        </w:rPr>
        <w:t>今年以来，</w:t>
      </w:r>
      <w:r>
        <w:rPr>
          <w:rFonts w:hint="eastAsia" w:ascii="仿宋" w:hAnsi="仿宋" w:eastAsia="仿宋" w:cs="仿宋"/>
          <w:szCs w:val="32"/>
        </w:rPr>
        <w:t>印台</w:t>
      </w:r>
      <w:r>
        <w:rPr>
          <w:rFonts w:hint="eastAsia" w:ascii="仿宋" w:hAnsi="仿宋" w:eastAsia="仿宋" w:cs="仿宋"/>
          <w:color w:val="000000"/>
          <w:szCs w:val="32"/>
        </w:rPr>
        <w:t>区政府召开煤矿安全专业委员会会议3次，召开煤矿安全工作专题会议6次，研究部署乔子梁煤矿安全生产工作</w:t>
      </w:r>
      <w:r>
        <w:rPr>
          <w:rFonts w:ascii="仿宋" w:hAnsi="仿宋" w:eastAsia="仿宋" w:cs="仿宋"/>
          <w:color w:val="000000"/>
          <w:szCs w:val="32"/>
        </w:rPr>
        <w:t>23</w:t>
      </w:r>
      <w:r>
        <w:rPr>
          <w:rFonts w:hint="eastAsia" w:ascii="仿宋" w:hAnsi="仿宋" w:eastAsia="仿宋" w:cs="仿宋"/>
          <w:color w:val="000000"/>
          <w:szCs w:val="32"/>
        </w:rPr>
        <w:t>次，对乔子梁煤矿安全生产现场检查指导1</w:t>
      </w:r>
      <w:r>
        <w:rPr>
          <w:rFonts w:ascii="仿宋" w:hAnsi="仿宋" w:eastAsia="仿宋" w:cs="仿宋"/>
          <w:color w:val="000000"/>
          <w:szCs w:val="32"/>
        </w:rPr>
        <w:t>4</w:t>
      </w:r>
      <w:r>
        <w:rPr>
          <w:rFonts w:hint="eastAsia" w:ascii="仿宋" w:hAnsi="仿宋" w:eastAsia="仿宋" w:cs="仿宋"/>
          <w:color w:val="000000"/>
          <w:szCs w:val="32"/>
        </w:rPr>
        <w:t>次。</w:t>
      </w:r>
    </w:p>
    <w:p>
      <w:pPr>
        <w:spacing w:line="600" w:lineRule="atLeast"/>
        <w:ind w:firstLine="594"/>
        <w:rPr>
          <w:rFonts w:ascii="仿宋" w:hAnsi="仿宋" w:eastAsia="仿宋" w:cs="仿宋"/>
          <w:color w:val="000000"/>
          <w:szCs w:val="32"/>
        </w:rPr>
      </w:pPr>
      <w:r>
        <w:rPr>
          <w:rFonts w:hint="eastAsia" w:ascii="仿宋" w:hAnsi="仿宋" w:eastAsia="仿宋" w:cs="仿宋"/>
          <w:color w:val="000000"/>
          <w:szCs w:val="32"/>
        </w:rPr>
        <w:t>针对陕西煤监局铜川监察分局下达的5份《加强和改善安全监管建议书》中指出的乔子梁煤矿存在安全隐患，先后4次召开区长办公会，听取问题隐患整改情况，研究部署乔子梁煤矿安全生产相关工作，要求区煤炭局挂牌督办、专人负责、一抓到底，切实消除安全隐患；要举一反三，加强对区属其他煤矿的隐患排查整治工作，发现问题立即停业整顿，坚决不能让隐患酿成事故。</w:t>
      </w:r>
    </w:p>
    <w:p>
      <w:pPr>
        <w:adjustRightInd w:val="0"/>
        <w:snapToGrid w:val="0"/>
        <w:spacing w:line="600" w:lineRule="atLeast"/>
        <w:ind w:firstLine="596"/>
        <w:rPr>
          <w:rFonts w:ascii="仿宋" w:hAnsi="仿宋" w:eastAsia="仿宋" w:cs="仿宋"/>
          <w:b/>
          <w:bCs/>
          <w:szCs w:val="32"/>
        </w:rPr>
      </w:pPr>
      <w:r>
        <w:rPr>
          <w:rFonts w:hint="eastAsia" w:ascii="仿宋" w:hAnsi="仿宋" w:eastAsia="仿宋" w:cs="仿宋"/>
          <w:b/>
          <w:bCs/>
          <w:szCs w:val="32"/>
        </w:rPr>
        <w:t>四、事故区域基本情况</w:t>
      </w:r>
    </w:p>
    <w:p>
      <w:pPr>
        <w:adjustRightInd w:val="0"/>
        <w:snapToGrid w:val="0"/>
        <w:spacing w:line="600" w:lineRule="atLeast"/>
        <w:ind w:firstLine="594"/>
        <w:rPr>
          <w:rFonts w:ascii="仿宋" w:hAnsi="仿宋" w:eastAsia="仿宋" w:cs="仿宋"/>
          <w:b/>
          <w:szCs w:val="32"/>
        </w:rPr>
      </w:pPr>
      <w:r>
        <w:rPr>
          <w:rFonts w:hint="eastAsia" w:ascii="仿宋" w:hAnsi="仿宋" w:eastAsia="仿宋" w:cs="仿宋"/>
          <w:bCs/>
          <w:szCs w:val="32"/>
        </w:rPr>
        <w:t>事故发生时，乔子梁煤矿在5</w:t>
      </w:r>
      <w:r>
        <w:rPr>
          <w:rFonts w:hint="eastAsia" w:ascii="仿宋" w:hAnsi="仿宋" w:eastAsia="仿宋" w:cs="仿宋"/>
          <w:bCs/>
          <w:szCs w:val="32"/>
          <w:vertAlign w:val="superscript"/>
        </w:rPr>
        <w:t>-2</w:t>
      </w:r>
      <w:r>
        <w:rPr>
          <w:rFonts w:hint="eastAsia" w:ascii="仿宋" w:hAnsi="仿宋" w:eastAsia="仿宋" w:cs="仿宋"/>
          <w:bCs/>
          <w:szCs w:val="32"/>
        </w:rPr>
        <w:t>煤59采区轨道下山上段和59采区轨道下山下段两个掘进工作面施工，事故发生在5</w:t>
      </w:r>
      <w:r>
        <w:rPr>
          <w:rFonts w:hint="eastAsia" w:ascii="仿宋" w:hAnsi="仿宋" w:eastAsia="仿宋" w:cs="仿宋"/>
          <w:bCs/>
          <w:szCs w:val="32"/>
          <w:vertAlign w:val="superscript"/>
        </w:rPr>
        <w:t>-2</w:t>
      </w:r>
      <w:r>
        <w:rPr>
          <w:rFonts w:hint="eastAsia" w:ascii="仿宋" w:hAnsi="仿宋" w:eastAsia="仿宋" w:cs="仿宋"/>
          <w:bCs/>
          <w:szCs w:val="32"/>
        </w:rPr>
        <w:t>煤59采区</w:t>
      </w:r>
      <w:r>
        <w:rPr>
          <w:rFonts w:hint="eastAsia" w:ascii="仿宋" w:hAnsi="仿宋" w:eastAsia="仿宋" w:cs="仿宋"/>
          <w:szCs w:val="32"/>
        </w:rPr>
        <w:t>轨道下山下段综掘工作面。</w:t>
      </w:r>
    </w:p>
    <w:p>
      <w:pPr>
        <w:pStyle w:val="40"/>
        <w:spacing w:line="600" w:lineRule="atLeast"/>
        <w:ind w:firstLine="596"/>
        <w:rPr>
          <w:rFonts w:ascii="仿宋" w:hAnsi="仿宋" w:eastAsia="仿宋" w:cs="仿宋"/>
          <w:b w:val="0"/>
          <w:bCs w:val="0"/>
          <w:kern w:val="2"/>
          <w:sz w:val="32"/>
          <w:szCs w:val="32"/>
        </w:rPr>
      </w:pPr>
      <w:r>
        <w:rPr>
          <w:rFonts w:hint="eastAsia" w:ascii="仿宋" w:hAnsi="仿宋" w:eastAsia="仿宋" w:cs="仿宋"/>
          <w:sz w:val="32"/>
          <w:szCs w:val="32"/>
        </w:rPr>
        <w:t>(一) 59采区轨道下山下段综掘工作面地质概况。</w:t>
      </w:r>
      <w:r>
        <w:rPr>
          <w:rFonts w:hint="eastAsia" w:ascii="仿宋" w:hAnsi="仿宋" w:eastAsia="仿宋" w:cs="仿宋"/>
          <w:b w:val="0"/>
          <w:bCs w:val="0"/>
          <w:kern w:val="2"/>
          <w:sz w:val="32"/>
          <w:szCs w:val="32"/>
        </w:rPr>
        <w:t>59采区轨道下山下段综掘进工作面位于59采区皮带下山和回风下山中间，为59采区行人运料巷道。东部为59采区回风下山，西部为59采区皮带下山,距离均为2</w:t>
      </w:r>
      <w:r>
        <w:rPr>
          <w:rFonts w:ascii="仿宋" w:hAnsi="仿宋" w:eastAsia="仿宋" w:cs="仿宋"/>
          <w:b w:val="0"/>
          <w:bCs w:val="0"/>
          <w:kern w:val="2"/>
          <w:sz w:val="32"/>
          <w:szCs w:val="32"/>
        </w:rPr>
        <w:t>5</w:t>
      </w:r>
      <w:r>
        <w:rPr>
          <w:rFonts w:hint="eastAsia" w:ascii="仿宋" w:hAnsi="仿宋" w:eastAsia="仿宋" w:cs="仿宋"/>
          <w:b w:val="0"/>
          <w:bCs w:val="0"/>
          <w:kern w:val="2"/>
          <w:sz w:val="32"/>
          <w:szCs w:val="32"/>
        </w:rPr>
        <w:t>m左右，回风下山和皮带下山已施工到位。59采区轨道下山煤层整体形态为北部低、南部高，煤层底板标高+4</w:t>
      </w:r>
      <w:r>
        <w:rPr>
          <w:rFonts w:ascii="仿宋" w:hAnsi="仿宋" w:eastAsia="仿宋" w:cs="仿宋"/>
          <w:b w:val="0"/>
          <w:bCs w:val="0"/>
          <w:kern w:val="2"/>
          <w:sz w:val="32"/>
          <w:szCs w:val="32"/>
        </w:rPr>
        <w:t>40</w:t>
      </w:r>
      <w:r>
        <w:rPr>
          <w:rFonts w:hint="eastAsia" w:ascii="仿宋" w:hAnsi="仿宋" w:eastAsia="仿宋" w:cs="仿宋"/>
          <w:b w:val="0"/>
          <w:bCs w:val="0"/>
          <w:kern w:val="2"/>
          <w:sz w:val="32"/>
          <w:szCs w:val="32"/>
        </w:rPr>
        <w:t>.</w:t>
      </w:r>
      <w:r>
        <w:rPr>
          <w:rFonts w:ascii="仿宋" w:hAnsi="仿宋" w:eastAsia="仿宋" w:cs="仿宋"/>
          <w:b w:val="0"/>
          <w:bCs w:val="0"/>
          <w:kern w:val="2"/>
          <w:sz w:val="32"/>
          <w:szCs w:val="32"/>
        </w:rPr>
        <w:t>4</w:t>
      </w:r>
      <w:r>
        <w:rPr>
          <w:rFonts w:hint="eastAsia" w:ascii="仿宋" w:hAnsi="仿宋" w:eastAsia="仿宋" w:cs="仿宋"/>
          <w:b w:val="0"/>
          <w:bCs w:val="0"/>
          <w:kern w:val="2"/>
          <w:sz w:val="32"/>
          <w:szCs w:val="32"/>
        </w:rPr>
        <w:t>～+</w:t>
      </w:r>
      <w:r>
        <w:rPr>
          <w:rFonts w:ascii="仿宋" w:hAnsi="仿宋" w:eastAsia="仿宋" w:cs="仿宋"/>
          <w:b w:val="0"/>
          <w:bCs w:val="0"/>
          <w:kern w:val="2"/>
          <w:sz w:val="32"/>
          <w:szCs w:val="32"/>
        </w:rPr>
        <w:t>469</w:t>
      </w:r>
      <w:r>
        <w:rPr>
          <w:rFonts w:hint="eastAsia" w:ascii="仿宋" w:hAnsi="仿宋" w:eastAsia="仿宋" w:cs="仿宋"/>
          <w:b w:val="0"/>
          <w:bCs w:val="0"/>
          <w:kern w:val="2"/>
          <w:sz w:val="32"/>
          <w:szCs w:val="32"/>
        </w:rPr>
        <w:t>.</w:t>
      </w:r>
      <w:r>
        <w:rPr>
          <w:rFonts w:ascii="仿宋" w:hAnsi="仿宋" w:eastAsia="仿宋" w:cs="仿宋"/>
          <w:b w:val="0"/>
          <w:bCs w:val="0"/>
          <w:kern w:val="2"/>
          <w:sz w:val="32"/>
          <w:szCs w:val="32"/>
        </w:rPr>
        <w:t>6</w:t>
      </w:r>
      <w:r>
        <w:rPr>
          <w:rFonts w:hint="eastAsia" w:ascii="仿宋" w:hAnsi="仿宋" w:eastAsia="仿宋" w:cs="仿宋"/>
          <w:b w:val="0"/>
          <w:bCs w:val="0"/>
          <w:kern w:val="2"/>
          <w:sz w:val="32"/>
          <w:szCs w:val="32"/>
        </w:rPr>
        <w:t>m，煤层倾角平均10°，倾向基本为南北，59采区轨道下山下段掘进工作面5</w:t>
      </w:r>
      <w:r>
        <w:rPr>
          <w:rFonts w:hint="eastAsia" w:ascii="仿宋" w:hAnsi="仿宋" w:eastAsia="仿宋" w:cs="仿宋"/>
          <w:b w:val="0"/>
          <w:bCs w:val="0"/>
          <w:kern w:val="2"/>
          <w:sz w:val="32"/>
          <w:szCs w:val="32"/>
          <w:vertAlign w:val="superscript"/>
        </w:rPr>
        <w:t>-2</w:t>
      </w:r>
      <w:r>
        <w:rPr>
          <w:rFonts w:hint="eastAsia" w:ascii="仿宋" w:hAnsi="仿宋" w:eastAsia="仿宋" w:cs="仿宋"/>
          <w:b w:val="0"/>
          <w:bCs w:val="0"/>
          <w:kern w:val="2"/>
          <w:sz w:val="32"/>
          <w:szCs w:val="32"/>
        </w:rPr>
        <w:t>煤以黑色半亮型瘦煤为主，质软，煤厚0.8m-6.05m，平均3.4m；在59采区皮带下山和回风下山掘进过程中揭露出落差较大断层，受断层影响，可能造成煤层变薄变厚或缺失。</w:t>
      </w:r>
    </w:p>
    <w:p>
      <w:pPr>
        <w:pStyle w:val="40"/>
        <w:spacing w:line="600" w:lineRule="atLeast"/>
        <w:ind w:firstLine="516"/>
        <w:rPr>
          <w:rFonts w:ascii="仿宋" w:hAnsi="仿宋" w:eastAsia="仿宋" w:cs="仿宋"/>
          <w:b w:val="0"/>
          <w:bCs w:val="0"/>
          <w:kern w:val="2"/>
          <w:sz w:val="32"/>
          <w:szCs w:val="32"/>
        </w:rPr>
      </w:pPr>
      <w:r>
        <w:rPr>
          <w:rFonts w:hint="eastAsia" w:ascii="仿宋" w:hAnsi="仿宋" w:eastAsia="仿宋" w:cs="仿宋"/>
          <w:szCs w:val="32"/>
        </w:rPr>
        <w:t>（</w:t>
      </w:r>
      <w:r>
        <w:rPr>
          <w:rFonts w:hint="eastAsia" w:ascii="仿宋" w:hAnsi="仿宋" w:eastAsia="仿宋" w:cs="仿宋"/>
          <w:bCs w:val="0"/>
          <w:kern w:val="2"/>
          <w:sz w:val="32"/>
          <w:szCs w:val="32"/>
        </w:rPr>
        <w:t>二）59采区轨道下山下段综掘工作面作业规程编制和实际掘进情况。</w:t>
      </w:r>
      <w:r>
        <w:rPr>
          <w:rFonts w:hint="eastAsia" w:ascii="仿宋" w:hAnsi="仿宋" w:eastAsia="仿宋" w:cs="仿宋"/>
          <w:b w:val="0"/>
          <w:bCs w:val="0"/>
          <w:kern w:val="2"/>
          <w:sz w:val="32"/>
          <w:szCs w:val="32"/>
        </w:rPr>
        <w:t>2020年4月,乔子梁煤矿编制并审批了《59采区轨道下山掘进作业规程》。59采区轨道下山全长668.84m，分59采区轨道下山上段施工和下段施工，59采区轨道下山下段施工4</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联巷至</w:t>
      </w:r>
      <w:r>
        <w:rPr>
          <w:rFonts w:ascii="仿宋" w:hAnsi="仿宋" w:eastAsia="仿宋" w:cs="仿宋"/>
          <w:b w:val="0"/>
          <w:bCs w:val="0"/>
          <w:kern w:val="2"/>
          <w:sz w:val="32"/>
          <w:szCs w:val="32"/>
        </w:rPr>
        <w:t>5</w:t>
      </w:r>
      <w:r>
        <w:rPr>
          <w:rFonts w:ascii="仿宋" w:hAnsi="仿宋" w:eastAsia="仿宋" w:cs="仿宋"/>
          <w:b w:val="0"/>
          <w:bCs w:val="0"/>
          <w:kern w:val="2"/>
          <w:sz w:val="32"/>
          <w:szCs w:val="32"/>
          <w:vertAlign w:val="superscript"/>
        </w:rPr>
        <w:t>#</w:t>
      </w:r>
      <w:r>
        <w:rPr>
          <w:rFonts w:ascii="仿宋" w:hAnsi="仿宋" w:eastAsia="仿宋" w:cs="仿宋"/>
          <w:b w:val="0"/>
          <w:bCs w:val="0"/>
          <w:kern w:val="2"/>
          <w:sz w:val="32"/>
          <w:szCs w:val="32"/>
        </w:rPr>
        <w:t>联巷</w:t>
      </w:r>
      <w:r>
        <w:rPr>
          <w:rFonts w:hint="eastAsia" w:ascii="仿宋" w:hAnsi="仿宋" w:eastAsia="仿宋" w:cs="仿宋"/>
          <w:b w:val="0"/>
          <w:bCs w:val="0"/>
          <w:kern w:val="2"/>
          <w:sz w:val="32"/>
          <w:szCs w:val="32"/>
        </w:rPr>
        <w:t>段,长</w:t>
      </w:r>
      <w:r>
        <w:rPr>
          <w:rFonts w:ascii="仿宋" w:hAnsi="仿宋" w:eastAsia="仿宋" w:cs="仿宋"/>
          <w:b w:val="0"/>
          <w:bCs w:val="0"/>
          <w:kern w:val="2"/>
          <w:sz w:val="32"/>
          <w:szCs w:val="32"/>
        </w:rPr>
        <w:t>112</w:t>
      </w:r>
      <w:r>
        <w:rPr>
          <w:rFonts w:hint="eastAsia" w:ascii="仿宋" w:hAnsi="仿宋" w:eastAsia="仿宋" w:cs="仿宋"/>
          <w:b w:val="0"/>
          <w:bCs w:val="0"/>
          <w:kern w:val="2"/>
          <w:sz w:val="32"/>
          <w:szCs w:val="32"/>
        </w:rPr>
        <w:t>m，掘进工作面由5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联巷中部开口，向上部4</w:t>
      </w:r>
      <w:r>
        <w:rPr>
          <w:rFonts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联巷方向掘进。59采区轨道下山下段综掘工作面沿煤层顶板掘进，2020年10月17日开始掘进，事故发生时已掘长度22</w:t>
      </w:r>
      <w:r>
        <w:rPr>
          <w:rFonts w:ascii="仿宋" w:hAnsi="仿宋" w:eastAsia="仿宋" w:cs="仿宋"/>
          <w:b w:val="0"/>
          <w:bCs w:val="0"/>
          <w:kern w:val="2"/>
          <w:sz w:val="32"/>
          <w:szCs w:val="32"/>
        </w:rPr>
        <w:t>m</w:t>
      </w:r>
      <w:r>
        <w:rPr>
          <w:rFonts w:hint="eastAsia" w:ascii="仿宋" w:hAnsi="仿宋" w:eastAsia="仿宋" w:cs="仿宋"/>
          <w:b w:val="0"/>
          <w:bCs w:val="0"/>
          <w:kern w:val="2"/>
          <w:sz w:val="32"/>
          <w:szCs w:val="32"/>
        </w:rPr>
        <w:t>，矩形断面，净高</w:t>
      </w:r>
      <w:r>
        <w:rPr>
          <w:rFonts w:ascii="仿宋" w:hAnsi="仿宋" w:eastAsia="仿宋" w:cs="仿宋"/>
          <w:b w:val="0"/>
          <w:bCs w:val="0"/>
          <w:kern w:val="2"/>
          <w:sz w:val="32"/>
          <w:szCs w:val="32"/>
        </w:rPr>
        <w:t>3.2</w:t>
      </w:r>
      <w:r>
        <w:rPr>
          <w:rFonts w:hint="eastAsia" w:ascii="仿宋" w:hAnsi="仿宋" w:eastAsia="仿宋" w:cs="仿宋"/>
          <w:b w:val="0"/>
          <w:bCs w:val="0"/>
          <w:kern w:val="2"/>
          <w:sz w:val="32"/>
          <w:szCs w:val="32"/>
        </w:rPr>
        <w:t>m、净宽4.</w:t>
      </w:r>
      <w:r>
        <w:rPr>
          <w:rFonts w:ascii="仿宋" w:hAnsi="仿宋" w:eastAsia="仿宋" w:cs="仿宋"/>
          <w:b w:val="0"/>
          <w:bCs w:val="0"/>
          <w:kern w:val="2"/>
          <w:sz w:val="32"/>
          <w:szCs w:val="32"/>
        </w:rPr>
        <w:t>5</w:t>
      </w:r>
      <w:r>
        <w:rPr>
          <w:rFonts w:hint="eastAsia" w:ascii="仿宋" w:hAnsi="仿宋" w:eastAsia="仿宋" w:cs="仿宋"/>
          <w:b w:val="0"/>
          <w:bCs w:val="0"/>
          <w:kern w:val="2"/>
          <w:sz w:val="32"/>
          <w:szCs w:val="32"/>
        </w:rPr>
        <w:t>m，装备5台MQT-130型液压锚杆钻机，采用短掘短支锚网索+钢带联合支护顶板，采用螺旋锚杆和金属菱形网联合支护两帮。采用EBZ-160A型综掘机掘进，一般由巷道底部向巷道顶部切割，正常循环进尺0.8</w:t>
      </w:r>
      <w:r>
        <w:rPr>
          <w:rFonts w:ascii="仿宋" w:hAnsi="仿宋" w:eastAsia="仿宋" w:cs="仿宋"/>
          <w:b w:val="0"/>
          <w:bCs w:val="0"/>
          <w:kern w:val="2"/>
          <w:sz w:val="32"/>
          <w:szCs w:val="32"/>
        </w:rPr>
        <w:t>m</w:t>
      </w:r>
      <w:r>
        <w:rPr>
          <w:rFonts w:hint="eastAsia" w:ascii="仿宋" w:hAnsi="仿宋" w:eastAsia="仿宋" w:cs="仿宋"/>
          <w:b w:val="0"/>
          <w:bCs w:val="0"/>
          <w:kern w:val="2"/>
          <w:sz w:val="32"/>
          <w:szCs w:val="32"/>
        </w:rPr>
        <w:t>，最大空顶距1.6</w:t>
      </w:r>
      <w:r>
        <w:rPr>
          <w:rFonts w:ascii="仿宋" w:hAnsi="仿宋" w:eastAsia="仿宋" w:cs="仿宋"/>
          <w:b w:val="0"/>
          <w:bCs w:val="0"/>
          <w:kern w:val="2"/>
          <w:sz w:val="32"/>
          <w:szCs w:val="32"/>
        </w:rPr>
        <w:t>m</w:t>
      </w:r>
      <w:r>
        <w:rPr>
          <w:rFonts w:hint="eastAsia" w:ascii="仿宋" w:hAnsi="仿宋" w:eastAsia="仿宋" w:cs="仿宋"/>
          <w:b w:val="0"/>
          <w:bCs w:val="0"/>
          <w:kern w:val="2"/>
          <w:sz w:val="32"/>
          <w:szCs w:val="32"/>
        </w:rPr>
        <w:t>，根据矿井采掘工程平面图和矿井井上下对照图，5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轨道下山事故地点标高+</w:t>
      </w:r>
      <w:r>
        <w:rPr>
          <w:rFonts w:ascii="仿宋" w:hAnsi="仿宋" w:eastAsia="仿宋" w:cs="仿宋"/>
          <w:b w:val="0"/>
          <w:bCs w:val="0"/>
          <w:kern w:val="2"/>
          <w:sz w:val="32"/>
          <w:szCs w:val="32"/>
        </w:rPr>
        <w:t>442m</w:t>
      </w:r>
      <w:r>
        <w:rPr>
          <w:rFonts w:hint="eastAsia" w:ascii="仿宋" w:hAnsi="仿宋" w:eastAsia="仿宋" w:cs="仿宋"/>
          <w:b w:val="0"/>
          <w:bCs w:val="0"/>
          <w:kern w:val="2"/>
          <w:sz w:val="32"/>
          <w:szCs w:val="32"/>
        </w:rPr>
        <w:t>，对应地表标高约+1</w:t>
      </w:r>
      <w:r>
        <w:rPr>
          <w:rFonts w:ascii="仿宋" w:hAnsi="仿宋" w:eastAsia="仿宋" w:cs="仿宋"/>
          <w:b w:val="0"/>
          <w:bCs w:val="0"/>
          <w:kern w:val="2"/>
          <w:sz w:val="32"/>
          <w:szCs w:val="32"/>
        </w:rPr>
        <w:t>082m</w:t>
      </w:r>
      <w:r>
        <w:rPr>
          <w:rFonts w:hint="eastAsia" w:ascii="仿宋" w:hAnsi="仿宋" w:eastAsia="仿宋" w:cs="仿宋"/>
          <w:b w:val="0"/>
          <w:bCs w:val="0"/>
          <w:kern w:val="2"/>
          <w:sz w:val="32"/>
          <w:szCs w:val="32"/>
        </w:rPr>
        <w:t>，埋深</w:t>
      </w:r>
      <w:r>
        <w:rPr>
          <w:rFonts w:ascii="仿宋" w:hAnsi="仿宋" w:eastAsia="仿宋" w:cs="仿宋"/>
          <w:b w:val="0"/>
          <w:bCs w:val="0"/>
          <w:kern w:val="2"/>
          <w:sz w:val="32"/>
          <w:szCs w:val="32"/>
        </w:rPr>
        <w:t>640m</w:t>
      </w:r>
      <w:r>
        <w:rPr>
          <w:rFonts w:hint="eastAsia" w:ascii="仿宋" w:hAnsi="仿宋" w:eastAsia="仿宋" w:cs="仿宋"/>
          <w:b w:val="0"/>
          <w:bCs w:val="0"/>
          <w:kern w:val="2"/>
          <w:sz w:val="32"/>
          <w:szCs w:val="32"/>
        </w:rPr>
        <w:t>。59轨道下山下段掘进工作面采用FBD-№6.3/2×22型局部通风机和Φ1000mm 抗静电、胶质阻燃风筒压入式通风，局部通风机安设在5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皮带下山距5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联巷口约1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m处,配风量580</w:t>
      </w:r>
      <w:r>
        <w:rPr>
          <w:rFonts w:ascii="仿宋" w:hAnsi="仿宋" w:eastAsia="仿宋" w:cs="仿宋"/>
          <w:b w:val="0"/>
          <w:bCs w:val="0"/>
          <w:kern w:val="2"/>
          <w:sz w:val="32"/>
          <w:szCs w:val="32"/>
        </w:rPr>
        <w:t>m</w:t>
      </w:r>
      <w:r>
        <w:rPr>
          <w:rFonts w:hint="eastAsia" w:ascii="仿宋" w:hAnsi="仿宋" w:eastAsia="仿宋" w:cs="仿宋"/>
          <w:b w:val="0"/>
          <w:bCs w:val="0"/>
          <w:kern w:val="2"/>
          <w:sz w:val="32"/>
          <w:szCs w:val="32"/>
          <w:vertAlign w:val="superscript"/>
        </w:rPr>
        <w:t>3</w:t>
      </w:r>
      <w:r>
        <w:rPr>
          <w:rFonts w:hint="eastAsia" w:ascii="仿宋" w:hAnsi="仿宋" w:eastAsia="仿宋" w:cs="仿宋"/>
          <w:b w:val="0"/>
          <w:bCs w:val="0"/>
          <w:kern w:val="2"/>
          <w:sz w:val="32"/>
          <w:szCs w:val="32"/>
        </w:rPr>
        <w:t>/</w:t>
      </w:r>
      <w:r>
        <w:rPr>
          <w:rFonts w:ascii="仿宋" w:hAnsi="仿宋" w:eastAsia="仿宋" w:cs="仿宋"/>
          <w:b w:val="0"/>
          <w:bCs w:val="0"/>
          <w:kern w:val="2"/>
          <w:sz w:val="32"/>
          <w:szCs w:val="32"/>
        </w:rPr>
        <w:t>min</w:t>
      </w:r>
      <w:r>
        <w:rPr>
          <w:rFonts w:hint="eastAsia" w:ascii="仿宋" w:hAnsi="仿宋" w:eastAsia="仿宋" w:cs="仿宋"/>
          <w:b w:val="0"/>
          <w:bCs w:val="0"/>
          <w:kern w:val="2"/>
          <w:sz w:val="32"/>
          <w:szCs w:val="32"/>
        </w:rPr>
        <w:t>。事故区域的通风系统如图1所示。</w:t>
      </w:r>
    </w:p>
    <w:p>
      <w:pPr>
        <w:pStyle w:val="40"/>
        <w:spacing w:line="600" w:lineRule="atLeast"/>
        <w:ind w:firstLine="594"/>
        <w:rPr>
          <w:rFonts w:ascii="仿宋" w:hAnsi="仿宋" w:eastAsia="仿宋" w:cs="仿宋"/>
          <w:b w:val="0"/>
          <w:bCs w:val="0"/>
          <w:kern w:val="2"/>
          <w:sz w:val="32"/>
          <w:szCs w:val="32"/>
        </w:rPr>
      </w:pPr>
    </w:p>
    <w:p>
      <w:pPr>
        <w:pStyle w:val="40"/>
        <w:spacing w:line="600" w:lineRule="atLeast"/>
        <w:ind w:firstLine="594"/>
        <w:rPr>
          <w:rFonts w:ascii="仿宋" w:hAnsi="仿宋" w:eastAsia="仿宋" w:cs="仿宋"/>
          <w:b w:val="0"/>
          <w:bCs w:val="0"/>
          <w:kern w:val="2"/>
          <w:sz w:val="32"/>
          <w:szCs w:val="32"/>
        </w:rPr>
      </w:pPr>
      <w:r>
        <w:rPr>
          <w:rFonts w:ascii="仿宋" w:hAnsi="仿宋" w:eastAsia="仿宋" w:cs="仿宋"/>
          <w:b w:val="0"/>
          <w:bCs w:val="0"/>
          <w:kern w:val="2"/>
          <w:sz w:val="32"/>
          <w:szCs w:val="32"/>
        </w:rPr>
        <w:drawing>
          <wp:inline distT="0" distB="0" distL="0" distR="0">
            <wp:extent cx="4733925" cy="276034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2" cstate="print"/>
                    <a:srcRect/>
                    <a:stretch>
                      <a:fillRect/>
                    </a:stretch>
                  </pic:blipFill>
                  <pic:spPr>
                    <a:xfrm>
                      <a:off x="0" y="0"/>
                      <a:ext cx="4736045" cy="2761840"/>
                    </a:xfrm>
                    <a:prstGeom prst="rect">
                      <a:avLst/>
                    </a:prstGeom>
                    <a:noFill/>
                    <a:ln w="9525">
                      <a:noFill/>
                      <a:miter lim="800000"/>
                      <a:headEnd/>
                      <a:tailEnd/>
                    </a:ln>
                  </pic:spPr>
                </pic:pic>
              </a:graphicData>
            </a:graphic>
          </wp:inline>
        </w:drawing>
      </w:r>
    </w:p>
    <w:p>
      <w:pPr>
        <w:pStyle w:val="40"/>
        <w:ind w:firstLine="0" w:firstLineChars="0"/>
        <w:jc w:val="center"/>
        <w:rPr>
          <w:rFonts w:ascii="仿宋" w:hAnsi="仿宋" w:eastAsia="仿宋" w:cs="仿宋"/>
          <w:szCs w:val="32"/>
        </w:rPr>
      </w:pPr>
      <w:r>
        <w:rPr>
          <w:rFonts w:hint="eastAsia"/>
          <w:sz w:val="24"/>
        </w:rPr>
        <w:t>图1事故区域通风系统图</w:t>
      </w:r>
    </w:p>
    <w:p>
      <w:pPr>
        <w:pStyle w:val="40"/>
        <w:ind w:firstLine="0" w:firstLineChars="0"/>
        <w:jc w:val="center"/>
        <w:rPr>
          <w:rFonts w:ascii="仿宋" w:hAnsi="仿宋" w:eastAsia="仿宋" w:cs="仿宋"/>
          <w:szCs w:val="32"/>
        </w:rPr>
      </w:pPr>
    </w:p>
    <w:p>
      <w:pPr>
        <w:pStyle w:val="40"/>
        <w:ind w:firstLine="0" w:firstLineChars="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（三）</w:t>
      </w:r>
      <w:r>
        <w:rPr>
          <w:rFonts w:hint="eastAsia" w:ascii="仿宋" w:hAnsi="仿宋" w:eastAsia="仿宋" w:cs="仿宋"/>
          <w:sz w:val="32"/>
          <w:szCs w:val="32"/>
        </w:rPr>
        <w:t>59采区轨道下山下段综掘工作面</w:t>
      </w:r>
      <w:r>
        <w:rPr>
          <w:rFonts w:hint="eastAsia" w:ascii="仿宋" w:hAnsi="仿宋" w:eastAsia="仿宋" w:cs="仿宋"/>
          <w:color w:val="000000" w:themeColor="text1"/>
          <w:sz w:val="32"/>
          <w:szCs w:val="32"/>
          <w14:textFill>
            <w14:solidFill>
              <w14:schemeClr w14:val="tx1"/>
            </w14:solidFill>
          </w14:textFill>
        </w:rPr>
        <w:t>瓦斯防治情况</w:t>
      </w:r>
      <w:bookmarkStart w:id="15" w:name="_Toc56367530"/>
    </w:p>
    <w:p>
      <w:pPr>
        <w:adjustRightInd w:val="0"/>
        <w:snapToGrid w:val="0"/>
        <w:spacing w:line="360" w:lineRule="auto"/>
        <w:ind w:firstLine="596"/>
        <w:rPr>
          <w:rFonts w:ascii="仿宋" w:hAnsi="仿宋" w:eastAsia="仿宋" w:cs="仿宋"/>
          <w:szCs w:val="32"/>
        </w:rPr>
      </w:pPr>
      <w:r>
        <w:rPr>
          <w:rFonts w:hint="eastAsia" w:ascii="仿宋" w:hAnsi="仿宋" w:eastAsia="仿宋" w:cs="仿宋"/>
          <w:b/>
          <w:szCs w:val="32"/>
        </w:rPr>
        <w:t>1、</w:t>
      </w:r>
      <w:r>
        <w:rPr>
          <w:rFonts w:hint="eastAsia" w:ascii="仿宋" w:hAnsi="仿宋" w:eastAsia="仿宋" w:cs="仿宋"/>
          <w:b/>
          <w:color w:val="000000" w:themeColor="text1"/>
          <w:szCs w:val="32"/>
          <w14:textFill>
            <w14:solidFill>
              <w14:schemeClr w14:val="tx1"/>
            </w14:solidFill>
          </w14:textFill>
        </w:rPr>
        <w:t>瓦斯防治措施编制实施情况。</w:t>
      </w:r>
      <w:r>
        <w:rPr>
          <w:rFonts w:hint="eastAsia" w:ascii="仿宋" w:hAnsi="仿宋" w:eastAsia="仿宋" w:cs="仿宋"/>
          <w:szCs w:val="32"/>
        </w:rPr>
        <w:t>2</w:t>
      </w:r>
      <w:r>
        <w:rPr>
          <w:rFonts w:ascii="仿宋" w:hAnsi="仿宋" w:eastAsia="仿宋" w:cs="仿宋"/>
          <w:szCs w:val="32"/>
        </w:rPr>
        <w:t>020</w:t>
      </w:r>
      <w:r>
        <w:rPr>
          <w:rFonts w:hint="eastAsia" w:ascii="仿宋" w:hAnsi="仿宋" w:eastAsia="仿宋" w:cs="仿宋"/>
          <w:szCs w:val="32"/>
        </w:rPr>
        <w:t>年10月26日，矿井制定了《5</w:t>
      </w:r>
      <w:r>
        <w:rPr>
          <w:rFonts w:ascii="仿宋" w:hAnsi="仿宋" w:eastAsia="仿宋" w:cs="仿宋"/>
          <w:szCs w:val="32"/>
        </w:rPr>
        <w:t>9</w:t>
      </w:r>
      <w:r>
        <w:rPr>
          <w:rFonts w:hint="eastAsia" w:ascii="仿宋" w:hAnsi="仿宋" w:eastAsia="仿宋" w:cs="仿宋"/>
          <w:szCs w:val="32"/>
        </w:rPr>
        <w:t>轨道下山（下段）掘进工作面瓦斯防治专项安全技术措施》，10月27日制定了《5</w:t>
      </w:r>
      <w:r>
        <w:rPr>
          <w:rFonts w:ascii="仿宋" w:hAnsi="仿宋" w:eastAsia="仿宋" w:cs="仿宋"/>
          <w:szCs w:val="32"/>
        </w:rPr>
        <w:t>9</w:t>
      </w:r>
      <w:r>
        <w:rPr>
          <w:rFonts w:hint="eastAsia" w:ascii="仿宋" w:hAnsi="仿宋" w:eastAsia="仿宋" w:cs="仿宋"/>
          <w:szCs w:val="32"/>
        </w:rPr>
        <w:t>轨道下山（下段）掘进工作面瓦斯超前排放钻孔施工安全技术措施》。设计超前排放钻孔孔径7</w:t>
      </w:r>
      <w:r>
        <w:rPr>
          <w:rFonts w:ascii="仿宋" w:hAnsi="仿宋" w:eastAsia="仿宋" w:cs="仿宋"/>
          <w:szCs w:val="32"/>
        </w:rPr>
        <w:t>5</w:t>
      </w:r>
      <w:r>
        <w:rPr>
          <w:rFonts w:hint="eastAsia" w:ascii="仿宋" w:hAnsi="仿宋" w:eastAsia="仿宋" w:cs="仿宋"/>
          <w:szCs w:val="32"/>
        </w:rPr>
        <w:t>mm，钻孔深度1</w:t>
      </w:r>
      <w:r>
        <w:rPr>
          <w:rFonts w:ascii="仿宋" w:hAnsi="仿宋" w:eastAsia="仿宋" w:cs="仿宋"/>
          <w:szCs w:val="32"/>
        </w:rPr>
        <w:t>0</w:t>
      </w:r>
      <w:r>
        <w:rPr>
          <w:rFonts w:hint="eastAsia" w:ascii="仿宋" w:hAnsi="仿宋" w:eastAsia="仿宋" w:cs="仿宋"/>
          <w:szCs w:val="32"/>
        </w:rPr>
        <w:t>m，每循环施工8个钻孔，呈扇形布置，钻孔控制巷道断面轮廓线外2m。瓦斯排放钻孔设计参数如表1、图2所示。</w:t>
      </w:r>
    </w:p>
    <w:p>
      <w:pPr>
        <w:pStyle w:val="40"/>
        <w:ind w:firstLine="0" w:firstLineChars="0"/>
        <w:jc w:val="center"/>
        <w:rPr>
          <w:sz w:val="24"/>
        </w:rPr>
      </w:pPr>
    </w:p>
    <w:p>
      <w:pPr>
        <w:pStyle w:val="40"/>
        <w:ind w:firstLine="0" w:firstLineChars="0"/>
        <w:jc w:val="center"/>
        <w:rPr>
          <w:sz w:val="24"/>
        </w:rPr>
      </w:pPr>
      <w:r>
        <w:rPr>
          <w:rFonts w:hint="eastAsia"/>
          <w:sz w:val="24"/>
        </w:rPr>
        <w:t xml:space="preserve">表1 </w:t>
      </w:r>
      <w:r>
        <w:rPr>
          <w:sz w:val="24"/>
        </w:rPr>
        <w:t xml:space="preserve"> 59</w:t>
      </w:r>
      <w:r>
        <w:rPr>
          <w:rFonts w:hint="eastAsia"/>
          <w:sz w:val="24"/>
        </w:rPr>
        <w:t>轨道下山下部掘进工作面瓦斯排放钻孔设计参数</w:t>
      </w:r>
    </w:p>
    <w:p>
      <w:pPr>
        <w:adjustRightInd w:val="0"/>
        <w:snapToGrid w:val="0"/>
        <w:spacing w:line="360" w:lineRule="auto"/>
        <w:ind w:firstLine="594"/>
        <w:jc w:val="center"/>
        <w:rPr>
          <w:sz w:val="28"/>
          <w:szCs w:val="28"/>
        </w:rPr>
      </w:pPr>
      <w:r>
        <w:drawing>
          <wp:anchor distT="0" distB="0" distL="114300" distR="114300" simplePos="0" relativeHeight="251662336" behindDoc="0" locked="0" layoutInCell="1" allowOverlap="1">
            <wp:simplePos x="0" y="0"/>
            <wp:positionH relativeFrom="column">
              <wp:posOffset>919480</wp:posOffset>
            </wp:positionH>
            <wp:positionV relativeFrom="paragraph">
              <wp:posOffset>2437130</wp:posOffset>
            </wp:positionV>
            <wp:extent cx="4131310" cy="2674620"/>
            <wp:effectExtent l="19050" t="0" r="254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3" cstate="print"/>
                    <a:srcRect l="15079" t="24251" r="853" b="22845"/>
                    <a:stretch>
                      <a:fillRect/>
                    </a:stretch>
                  </pic:blipFill>
                  <pic:spPr>
                    <a:xfrm>
                      <a:off x="0" y="0"/>
                      <a:ext cx="4131310" cy="2674620"/>
                    </a:xfrm>
                    <a:prstGeom prst="rect">
                      <a:avLst/>
                    </a:prstGeom>
                    <a:noFill/>
                    <a:ln w="9525">
                      <a:noFill/>
                      <a:miter lim="800000"/>
                      <a:headEnd/>
                      <a:tailEnd/>
                    </a:ln>
                  </pic:spPr>
                </pic:pic>
              </a:graphicData>
            </a:graphic>
          </wp:anchor>
        </w:drawing>
      </w:r>
      <w:r>
        <w:drawing>
          <wp:inline distT="0" distB="0" distL="0" distR="0">
            <wp:extent cx="4772025" cy="23526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cstate="print"/>
                    <a:srcRect l="987" r="1772"/>
                    <a:stretch>
                      <a:fillRect/>
                    </a:stretch>
                  </pic:blipFill>
                  <pic:spPr>
                    <a:xfrm>
                      <a:off x="0" y="0"/>
                      <a:ext cx="4772025" cy="2352675"/>
                    </a:xfrm>
                    <a:prstGeom prst="rect">
                      <a:avLst/>
                    </a:prstGeom>
                    <a:noFill/>
                    <a:ln w="9525">
                      <a:noFill/>
                      <a:miter lim="800000"/>
                      <a:headEnd/>
                      <a:tailEnd/>
                    </a:ln>
                  </pic:spPr>
                </pic:pic>
              </a:graphicData>
            </a:graphic>
          </wp:inline>
        </w:drawing>
      </w:r>
    </w:p>
    <w:p>
      <w:pPr>
        <w:adjustRightInd w:val="0"/>
        <w:snapToGrid w:val="0"/>
        <w:spacing w:line="360" w:lineRule="auto"/>
        <w:ind w:firstLine="514"/>
        <w:rPr>
          <w:sz w:val="28"/>
          <w:szCs w:val="28"/>
        </w:rPr>
      </w:pPr>
    </w:p>
    <w:p>
      <w:pPr>
        <w:adjustRightInd w:val="0"/>
        <w:snapToGrid w:val="0"/>
        <w:spacing w:line="360" w:lineRule="auto"/>
        <w:ind w:firstLine="514"/>
        <w:rPr>
          <w:sz w:val="28"/>
          <w:szCs w:val="28"/>
        </w:rPr>
      </w:pPr>
    </w:p>
    <w:p>
      <w:pPr>
        <w:adjustRightInd w:val="0"/>
        <w:snapToGrid w:val="0"/>
        <w:spacing w:line="360" w:lineRule="auto"/>
        <w:ind w:firstLine="514"/>
        <w:rPr>
          <w:sz w:val="28"/>
          <w:szCs w:val="28"/>
        </w:rPr>
      </w:pPr>
    </w:p>
    <w:p>
      <w:pPr>
        <w:adjustRightInd w:val="0"/>
        <w:snapToGrid w:val="0"/>
        <w:spacing w:line="360" w:lineRule="auto"/>
        <w:ind w:firstLine="514"/>
        <w:rPr>
          <w:sz w:val="28"/>
          <w:szCs w:val="28"/>
        </w:rPr>
      </w:pPr>
    </w:p>
    <w:p>
      <w:pPr>
        <w:adjustRightInd w:val="0"/>
        <w:snapToGrid w:val="0"/>
        <w:spacing w:line="360" w:lineRule="auto"/>
        <w:ind w:firstLine="514"/>
        <w:rPr>
          <w:sz w:val="28"/>
          <w:szCs w:val="28"/>
        </w:rPr>
      </w:pPr>
    </w:p>
    <w:p>
      <w:pPr>
        <w:adjustRightInd w:val="0"/>
        <w:snapToGrid w:val="0"/>
        <w:spacing w:line="360" w:lineRule="auto"/>
        <w:ind w:firstLine="514"/>
        <w:rPr>
          <w:sz w:val="28"/>
          <w:szCs w:val="28"/>
        </w:rPr>
      </w:pPr>
    </w:p>
    <w:p>
      <w:pPr>
        <w:adjustRightInd w:val="0"/>
        <w:snapToGrid w:val="0"/>
        <w:spacing w:line="360" w:lineRule="auto"/>
        <w:ind w:firstLine="514"/>
        <w:rPr>
          <w:sz w:val="28"/>
          <w:szCs w:val="28"/>
        </w:rPr>
      </w:pPr>
    </w:p>
    <w:p>
      <w:pPr>
        <w:adjustRightInd w:val="0"/>
        <w:snapToGrid w:val="0"/>
        <w:spacing w:line="360" w:lineRule="auto"/>
        <w:ind w:firstLine="514"/>
        <w:rPr>
          <w:sz w:val="28"/>
          <w:szCs w:val="28"/>
        </w:rPr>
      </w:pPr>
    </w:p>
    <w:p>
      <w:pPr>
        <w:adjustRightInd w:val="0"/>
        <w:snapToGrid w:val="0"/>
        <w:spacing w:line="360" w:lineRule="auto"/>
        <w:ind w:firstLine="514"/>
        <w:rPr>
          <w:sz w:val="28"/>
          <w:szCs w:val="28"/>
        </w:rPr>
      </w:pPr>
    </w:p>
    <w:p>
      <w:pPr>
        <w:pStyle w:val="40"/>
        <w:ind w:firstLine="0" w:firstLineChars="0"/>
        <w:jc w:val="center"/>
        <w:rPr>
          <w:sz w:val="24"/>
        </w:rPr>
      </w:pPr>
      <w:r>
        <w:rPr>
          <w:rFonts w:hint="eastAsia"/>
          <w:sz w:val="24"/>
        </w:rPr>
        <w:t>图2瓦斯排放钻孔设计图</w:t>
      </w:r>
    </w:p>
    <w:p>
      <w:pPr>
        <w:pStyle w:val="40"/>
        <w:ind w:firstLine="0" w:firstLineChars="0"/>
        <w:jc w:val="left"/>
        <w:rPr>
          <w:rFonts w:ascii="仿宋" w:hAnsi="仿宋" w:eastAsia="仿宋" w:cs="仿宋"/>
          <w:b w:val="0"/>
          <w:bCs w:val="0"/>
          <w:kern w:val="2"/>
          <w:sz w:val="32"/>
          <w:szCs w:val="32"/>
        </w:rPr>
      </w:pPr>
      <w:r>
        <w:rPr>
          <w:rFonts w:hint="eastAsia" w:ascii="仿宋" w:hAnsi="仿宋" w:eastAsia="仿宋" w:cs="仿宋"/>
          <w:b w:val="0"/>
          <w:bCs w:val="0"/>
          <w:kern w:val="2"/>
          <w:sz w:val="32"/>
          <w:szCs w:val="32"/>
        </w:rPr>
        <w:t>根据防突实践，该措施能够一定程度上减小掘进过程中的瓦斯涌出，但从钻孔的密度、控制范围、排放时间等方面看，这些钻孔实际起不到防突作用。根据工作人员对瓦斯排放钻孔施工的取证笔录，排放钻孔的施工具有很大的随意性，钻孔数量设计</w:t>
      </w:r>
      <w:r>
        <w:rPr>
          <w:rFonts w:ascii="仿宋" w:hAnsi="仿宋" w:eastAsia="仿宋" w:cs="仿宋"/>
          <w:b w:val="0"/>
          <w:bCs w:val="0"/>
          <w:kern w:val="2"/>
          <w:sz w:val="32"/>
          <w:szCs w:val="32"/>
        </w:rPr>
        <w:t>8</w:t>
      </w:r>
      <w:r>
        <w:rPr>
          <w:rFonts w:hint="eastAsia" w:ascii="仿宋" w:hAnsi="仿宋" w:eastAsia="仿宋" w:cs="仿宋"/>
          <w:b w:val="0"/>
          <w:bCs w:val="0"/>
          <w:kern w:val="2"/>
          <w:sz w:val="32"/>
          <w:szCs w:val="32"/>
        </w:rPr>
        <w:t>个，实际施工</w:t>
      </w:r>
      <w:r>
        <w:rPr>
          <w:rFonts w:ascii="仿宋" w:hAnsi="仿宋" w:eastAsia="仿宋" w:cs="仿宋"/>
          <w:b w:val="0"/>
          <w:bCs w:val="0"/>
          <w:kern w:val="2"/>
          <w:sz w:val="32"/>
          <w:szCs w:val="32"/>
        </w:rPr>
        <w:t>4～8</w:t>
      </w:r>
      <w:r>
        <w:rPr>
          <w:rFonts w:hint="eastAsia" w:ascii="仿宋" w:hAnsi="仿宋" w:eastAsia="仿宋" w:cs="仿宋"/>
          <w:b w:val="0"/>
          <w:bCs w:val="0"/>
          <w:kern w:val="2"/>
          <w:sz w:val="32"/>
          <w:szCs w:val="32"/>
        </w:rPr>
        <w:t>个；钻孔直径设计7</w:t>
      </w:r>
      <w:r>
        <w:rPr>
          <w:rFonts w:ascii="仿宋" w:hAnsi="仿宋" w:eastAsia="仿宋" w:cs="仿宋"/>
          <w:b w:val="0"/>
          <w:bCs w:val="0"/>
          <w:kern w:val="2"/>
          <w:sz w:val="32"/>
          <w:szCs w:val="32"/>
        </w:rPr>
        <w:t>5</w:t>
      </w:r>
      <w:r>
        <w:rPr>
          <w:rFonts w:hint="eastAsia" w:ascii="仿宋" w:hAnsi="仿宋" w:eastAsia="仿宋" w:cs="仿宋"/>
          <w:b w:val="0"/>
          <w:bCs w:val="0"/>
          <w:kern w:val="2"/>
          <w:sz w:val="32"/>
          <w:szCs w:val="32"/>
        </w:rPr>
        <w:t>mm，但实际有的孔径为</w:t>
      </w:r>
      <w:r>
        <w:rPr>
          <w:rFonts w:ascii="仿宋" w:hAnsi="仿宋" w:eastAsia="仿宋" w:cs="仿宋"/>
          <w:b w:val="0"/>
          <w:bCs w:val="0"/>
          <w:kern w:val="2"/>
          <w:sz w:val="32"/>
          <w:szCs w:val="32"/>
        </w:rPr>
        <w:t>50</w:t>
      </w:r>
      <w:r>
        <w:rPr>
          <w:rFonts w:hint="eastAsia" w:ascii="仿宋" w:hAnsi="仿宋" w:eastAsia="仿宋" w:cs="仿宋"/>
          <w:b w:val="0"/>
          <w:bCs w:val="0"/>
          <w:kern w:val="2"/>
          <w:sz w:val="32"/>
          <w:szCs w:val="32"/>
        </w:rPr>
        <w:t>mm；孔深设计1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m，有时塌孔、堵孔，实际达不到1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m；钻孔位置变化大，验收不规范，未进行效果检验。</w:t>
      </w:r>
    </w:p>
    <w:p>
      <w:pPr>
        <w:pStyle w:val="40"/>
        <w:ind w:firstLine="0" w:firstLineChars="0"/>
        <w:jc w:val="left"/>
        <w:rPr>
          <w:rFonts w:ascii="仿宋" w:hAnsi="仿宋" w:eastAsia="仿宋" w:cs="仿宋"/>
          <w:b w:val="0"/>
          <w:bCs w:val="0"/>
          <w:kern w:val="2"/>
          <w:sz w:val="32"/>
          <w:szCs w:val="32"/>
        </w:rPr>
      </w:pPr>
      <w:r>
        <w:rPr>
          <w:rFonts w:hint="eastAsia" w:ascii="仿宋" w:hAnsi="仿宋" w:eastAsia="仿宋" w:cs="仿宋"/>
          <w:color w:val="000000" w:themeColor="text1"/>
          <w:sz w:val="32"/>
          <w:szCs w:val="32"/>
          <w14:textFill>
            <w14:solidFill>
              <w14:schemeClr w14:val="tx1"/>
            </w14:solidFill>
          </w14:textFill>
        </w:rPr>
        <w:t xml:space="preserve">   2</w:t>
      </w:r>
      <w:r>
        <w:rPr>
          <w:rFonts w:hint="eastAsia" w:ascii="仿宋" w:hAnsi="仿宋" w:eastAsia="仿宋" w:cs="仿宋"/>
          <w:bCs w:val="0"/>
          <w:kern w:val="2"/>
          <w:sz w:val="32"/>
          <w:szCs w:val="32"/>
        </w:rPr>
        <w:t>、事故工作面传感器布设情况</w:t>
      </w:r>
      <w:bookmarkEnd w:id="15"/>
      <w:r>
        <w:rPr>
          <w:rFonts w:hint="eastAsia" w:ascii="仿宋" w:hAnsi="仿宋" w:eastAsia="仿宋" w:cs="仿宋"/>
          <w:b w:val="0"/>
          <w:bCs w:val="0"/>
          <w:kern w:val="2"/>
          <w:sz w:val="32"/>
          <w:szCs w:val="32"/>
        </w:rPr>
        <w:t>。5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轨道下山下段掘进工作面安设有甲烷传感器T</w:t>
      </w:r>
      <w:r>
        <w:rPr>
          <w:rFonts w:ascii="仿宋" w:hAnsi="仿宋" w:eastAsia="仿宋" w:cs="仿宋"/>
          <w:b w:val="0"/>
          <w:bCs w:val="0"/>
          <w:kern w:val="2"/>
          <w:sz w:val="32"/>
          <w:szCs w:val="32"/>
        </w:rPr>
        <w:t>1</w:t>
      </w:r>
      <w:r>
        <w:rPr>
          <w:rFonts w:hint="eastAsia" w:ascii="仿宋" w:hAnsi="仿宋" w:eastAsia="仿宋" w:cs="仿宋"/>
          <w:b w:val="0"/>
          <w:bCs w:val="0"/>
          <w:kern w:val="2"/>
          <w:sz w:val="32"/>
          <w:szCs w:val="32"/>
        </w:rPr>
        <w:t>（编号T</w:t>
      </w:r>
      <w:r>
        <w:rPr>
          <w:rFonts w:ascii="仿宋" w:hAnsi="仿宋" w:eastAsia="仿宋" w:cs="仿宋"/>
          <w:b w:val="0"/>
          <w:bCs w:val="0"/>
          <w:kern w:val="2"/>
          <w:sz w:val="32"/>
          <w:szCs w:val="32"/>
        </w:rPr>
        <w:t>007A12</w:t>
      </w:r>
      <w:r>
        <w:rPr>
          <w:rFonts w:hint="eastAsia" w:ascii="仿宋" w:hAnsi="仿宋" w:eastAsia="仿宋" w:cs="仿宋"/>
          <w:b w:val="0"/>
          <w:bCs w:val="0"/>
          <w:kern w:val="2"/>
          <w:sz w:val="32"/>
          <w:szCs w:val="32"/>
        </w:rPr>
        <w:t>），掘进工作面回风口安设有甲烷传感器T2</w:t>
      </w:r>
      <w:r>
        <w:rPr>
          <w:rFonts w:ascii="仿宋" w:hAnsi="仿宋" w:eastAsia="仿宋" w:cs="仿宋"/>
          <w:b w:val="0"/>
          <w:bCs w:val="0"/>
          <w:kern w:val="2"/>
          <w:sz w:val="32"/>
          <w:szCs w:val="32"/>
        </w:rPr>
        <w:t>(</w:t>
      </w:r>
      <w:r>
        <w:rPr>
          <w:rFonts w:hint="eastAsia" w:ascii="仿宋" w:hAnsi="仿宋" w:eastAsia="仿宋" w:cs="仿宋"/>
          <w:b w:val="0"/>
          <w:bCs w:val="0"/>
          <w:kern w:val="2"/>
          <w:sz w:val="32"/>
          <w:szCs w:val="32"/>
        </w:rPr>
        <w:t>T</w:t>
      </w:r>
      <w:r>
        <w:rPr>
          <w:rFonts w:ascii="仿宋" w:hAnsi="仿宋" w:eastAsia="仿宋" w:cs="仿宋"/>
          <w:b w:val="0"/>
          <w:bCs w:val="0"/>
          <w:kern w:val="2"/>
          <w:sz w:val="32"/>
          <w:szCs w:val="32"/>
        </w:rPr>
        <w:t>007A13)</w:t>
      </w:r>
      <w:r>
        <w:rPr>
          <w:rFonts w:hint="eastAsia" w:ascii="仿宋" w:hAnsi="仿宋" w:eastAsia="仿宋" w:cs="仿宋"/>
          <w:b w:val="0"/>
          <w:bCs w:val="0"/>
          <w:kern w:val="2"/>
          <w:sz w:val="32"/>
          <w:szCs w:val="32"/>
        </w:rPr>
        <w:t>，5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回风下山4</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w:t>
      </w:r>
      <w:r>
        <w:rPr>
          <w:rFonts w:ascii="仿宋" w:hAnsi="仿宋" w:eastAsia="仿宋" w:cs="仿宋"/>
          <w:b w:val="0"/>
          <w:bCs w:val="0"/>
          <w:kern w:val="2"/>
          <w:sz w:val="32"/>
          <w:szCs w:val="32"/>
        </w:rPr>
        <w:t>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联巷间，近4</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联巷口设有甲烷传感器T</w:t>
      </w:r>
      <w:r>
        <w:rPr>
          <w:rFonts w:ascii="仿宋" w:hAnsi="仿宋" w:eastAsia="仿宋" w:cs="仿宋"/>
          <w:b w:val="0"/>
          <w:bCs w:val="0"/>
          <w:kern w:val="2"/>
          <w:sz w:val="32"/>
          <w:szCs w:val="32"/>
        </w:rPr>
        <w:t>3(</w:t>
      </w:r>
      <w:r>
        <w:rPr>
          <w:rFonts w:hint="eastAsia" w:ascii="仿宋" w:hAnsi="仿宋" w:eastAsia="仿宋" w:cs="仿宋"/>
          <w:b w:val="0"/>
          <w:bCs w:val="0"/>
          <w:kern w:val="2"/>
          <w:sz w:val="32"/>
          <w:szCs w:val="32"/>
        </w:rPr>
        <w:t>T</w:t>
      </w:r>
      <w:r>
        <w:rPr>
          <w:rFonts w:ascii="仿宋" w:hAnsi="仿宋" w:eastAsia="仿宋" w:cs="仿宋"/>
          <w:b w:val="0"/>
          <w:bCs w:val="0"/>
          <w:kern w:val="2"/>
          <w:sz w:val="32"/>
          <w:szCs w:val="32"/>
        </w:rPr>
        <w:t>007A05)</w:t>
      </w:r>
      <w:r>
        <w:rPr>
          <w:rFonts w:hint="eastAsia" w:ascii="仿宋" w:hAnsi="仿宋" w:eastAsia="仿宋" w:cs="仿宋"/>
          <w:b w:val="0"/>
          <w:bCs w:val="0"/>
          <w:kern w:val="2"/>
          <w:sz w:val="32"/>
          <w:szCs w:val="32"/>
        </w:rPr>
        <w:t>，如图3所示。</w:t>
      </w:r>
    </w:p>
    <w:p>
      <w:pPr>
        <w:pStyle w:val="40"/>
        <w:ind w:firstLine="0" w:firstLineChars="0"/>
        <w:jc w:val="center"/>
      </w:pPr>
      <w:r>
        <w:drawing>
          <wp:inline distT="0" distB="0" distL="0" distR="0">
            <wp:extent cx="4095750" cy="225742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5" cstate="print"/>
                    <a:srcRect/>
                    <a:stretch>
                      <a:fillRect/>
                    </a:stretch>
                  </pic:blipFill>
                  <pic:spPr>
                    <a:xfrm>
                      <a:off x="0" y="0"/>
                      <a:ext cx="4095750" cy="2257425"/>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图3事故区域的瓦斯传感器设置图</w:t>
      </w:r>
      <w:bookmarkStart w:id="16" w:name="_Toc56367531"/>
    </w:p>
    <w:p>
      <w:pPr>
        <w:pStyle w:val="40"/>
        <w:spacing w:line="600" w:lineRule="atLeast"/>
        <w:ind w:firstLine="596"/>
        <w:jc w:val="left"/>
        <w:rPr>
          <w:rFonts w:ascii="仿宋" w:hAnsi="仿宋" w:eastAsia="仿宋" w:cs="仿宋"/>
          <w:b w:val="0"/>
          <w:bCs w:val="0"/>
          <w:kern w:val="2"/>
          <w:sz w:val="32"/>
          <w:szCs w:val="32"/>
        </w:rPr>
      </w:pPr>
      <w:r>
        <w:rPr>
          <w:rFonts w:hint="eastAsia" w:ascii="仿宋" w:hAnsi="仿宋" w:eastAsia="仿宋" w:cs="仿宋"/>
          <w:bCs w:val="0"/>
          <w:kern w:val="2"/>
          <w:sz w:val="32"/>
          <w:szCs w:val="32"/>
        </w:rPr>
        <w:t>3、事故区域巷道瓦斯涌出</w:t>
      </w:r>
      <w:bookmarkEnd w:id="16"/>
      <w:r>
        <w:rPr>
          <w:rFonts w:hint="eastAsia" w:ascii="仿宋" w:hAnsi="仿宋" w:eastAsia="仿宋" w:cs="仿宋"/>
          <w:bCs w:val="0"/>
          <w:kern w:val="2"/>
          <w:sz w:val="32"/>
          <w:szCs w:val="32"/>
        </w:rPr>
        <w:t>情况。</w:t>
      </w:r>
      <w:r>
        <w:rPr>
          <w:rFonts w:hint="eastAsia" w:ascii="仿宋" w:hAnsi="仿宋" w:eastAsia="仿宋" w:cs="仿宋"/>
          <w:b w:val="0"/>
          <w:bCs w:val="0"/>
          <w:color w:val="000000" w:themeColor="text1"/>
          <w:kern w:val="2"/>
          <w:sz w:val="32"/>
          <w:szCs w:val="32"/>
          <w14:textFill>
            <w14:solidFill>
              <w14:schemeClr w14:val="tx1"/>
            </w14:solidFill>
          </w14:textFill>
        </w:rPr>
        <w:t>调</w:t>
      </w:r>
      <w:r>
        <w:rPr>
          <w:rFonts w:hint="eastAsia" w:ascii="仿宋" w:hAnsi="仿宋" w:eastAsia="仿宋" w:cs="仿宋"/>
          <w:b w:val="0"/>
          <w:bCs w:val="0"/>
          <w:kern w:val="2"/>
          <w:sz w:val="32"/>
          <w:szCs w:val="32"/>
        </w:rPr>
        <w:t>度会议记录和监控系统显示事故区域的巷道掘进过程瓦斯超限频繁。2020年5月和10月部分调度会议记录表明事故区域巷道掘进过程中，多次出现瓦斯超限现象，相关负责人要求施工瓦斯排放孔。</w:t>
      </w:r>
      <w:bookmarkStart w:id="17" w:name="_Toc56367533"/>
      <w:r>
        <w:rPr>
          <w:rFonts w:hint="eastAsia" w:ascii="仿宋" w:hAnsi="仿宋" w:eastAsia="仿宋" w:cs="仿宋"/>
          <w:b w:val="0"/>
          <w:bCs w:val="0"/>
          <w:kern w:val="2"/>
          <w:sz w:val="32"/>
          <w:szCs w:val="32"/>
        </w:rPr>
        <w:t>监控系统记录</w:t>
      </w:r>
      <w:bookmarkEnd w:id="17"/>
      <w:r>
        <w:rPr>
          <w:rFonts w:hint="eastAsia" w:ascii="仿宋" w:hAnsi="仿宋" w:eastAsia="仿宋" w:cs="仿宋"/>
          <w:b w:val="0"/>
          <w:bCs w:val="0"/>
          <w:kern w:val="2"/>
          <w:sz w:val="32"/>
          <w:szCs w:val="32"/>
        </w:rPr>
        <w:t>显示，2020年1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月2</w:t>
      </w:r>
      <w:r>
        <w:rPr>
          <w:rFonts w:ascii="仿宋" w:hAnsi="仿宋" w:eastAsia="仿宋" w:cs="仿宋"/>
          <w:b w:val="0"/>
          <w:bCs w:val="0"/>
          <w:kern w:val="2"/>
          <w:sz w:val="32"/>
          <w:szCs w:val="32"/>
        </w:rPr>
        <w:t>5</w:t>
      </w:r>
      <w:r>
        <w:rPr>
          <w:rFonts w:hint="eastAsia" w:ascii="仿宋" w:hAnsi="仿宋" w:eastAsia="仿宋" w:cs="仿宋"/>
          <w:b w:val="0"/>
          <w:bCs w:val="0"/>
          <w:kern w:val="2"/>
          <w:sz w:val="32"/>
          <w:szCs w:val="32"/>
        </w:rPr>
        <w:t>日至1</w:t>
      </w:r>
      <w:r>
        <w:rPr>
          <w:rFonts w:ascii="仿宋" w:hAnsi="仿宋" w:eastAsia="仿宋" w:cs="仿宋"/>
          <w:b w:val="0"/>
          <w:bCs w:val="0"/>
          <w:kern w:val="2"/>
          <w:sz w:val="32"/>
          <w:szCs w:val="32"/>
        </w:rPr>
        <w:t>1</w:t>
      </w:r>
      <w:r>
        <w:rPr>
          <w:rFonts w:hint="eastAsia" w:ascii="仿宋" w:hAnsi="仿宋" w:eastAsia="仿宋" w:cs="仿宋"/>
          <w:b w:val="0"/>
          <w:bCs w:val="0"/>
          <w:kern w:val="2"/>
          <w:sz w:val="32"/>
          <w:szCs w:val="32"/>
        </w:rPr>
        <w:t>月</w:t>
      </w:r>
      <w:r>
        <w:rPr>
          <w:rFonts w:ascii="仿宋" w:hAnsi="仿宋" w:eastAsia="仿宋" w:cs="仿宋"/>
          <w:b w:val="0"/>
          <w:bCs w:val="0"/>
          <w:kern w:val="2"/>
          <w:sz w:val="32"/>
          <w:szCs w:val="32"/>
        </w:rPr>
        <w:t>3</w:t>
      </w:r>
      <w:r>
        <w:rPr>
          <w:rFonts w:hint="eastAsia" w:ascii="仿宋" w:hAnsi="仿宋" w:eastAsia="仿宋" w:cs="仿宋"/>
          <w:b w:val="0"/>
          <w:bCs w:val="0"/>
          <w:kern w:val="2"/>
          <w:sz w:val="32"/>
          <w:szCs w:val="32"/>
        </w:rPr>
        <w:t>日，工作面瓦斯超出报警值1%累计达1</w:t>
      </w:r>
      <w:r>
        <w:rPr>
          <w:rFonts w:ascii="仿宋" w:hAnsi="仿宋" w:eastAsia="仿宋" w:cs="仿宋"/>
          <w:b w:val="0"/>
          <w:bCs w:val="0"/>
          <w:kern w:val="2"/>
          <w:sz w:val="32"/>
          <w:szCs w:val="32"/>
        </w:rPr>
        <w:t>6</w:t>
      </w:r>
      <w:r>
        <w:rPr>
          <w:rFonts w:hint="eastAsia" w:ascii="仿宋" w:hAnsi="仿宋" w:eastAsia="仿宋" w:cs="仿宋"/>
          <w:b w:val="0"/>
          <w:bCs w:val="0"/>
          <w:kern w:val="2"/>
          <w:sz w:val="32"/>
          <w:szCs w:val="32"/>
        </w:rPr>
        <w:t>次，其中：1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月3</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日，工作面T</w:t>
      </w:r>
      <w:r>
        <w:rPr>
          <w:rFonts w:ascii="仿宋" w:hAnsi="仿宋" w:eastAsia="仿宋" w:cs="仿宋"/>
          <w:b w:val="0"/>
          <w:bCs w:val="0"/>
          <w:kern w:val="2"/>
          <w:sz w:val="32"/>
          <w:szCs w:val="32"/>
        </w:rPr>
        <w:t>1</w:t>
      </w:r>
      <w:r>
        <w:rPr>
          <w:rFonts w:hint="eastAsia" w:ascii="仿宋" w:hAnsi="仿宋" w:eastAsia="仿宋" w:cs="仿宋"/>
          <w:b w:val="0"/>
          <w:bCs w:val="0"/>
          <w:kern w:val="2"/>
          <w:sz w:val="32"/>
          <w:szCs w:val="32"/>
        </w:rPr>
        <w:t>甲烷传感器报警3次，瓦斯浓度最大值达到2</w:t>
      </w:r>
      <w:r>
        <w:rPr>
          <w:rFonts w:ascii="仿宋" w:hAnsi="仿宋" w:eastAsia="仿宋" w:cs="仿宋"/>
          <w:b w:val="0"/>
          <w:bCs w:val="0"/>
          <w:kern w:val="2"/>
          <w:sz w:val="32"/>
          <w:szCs w:val="32"/>
        </w:rPr>
        <w:t>.2</w:t>
      </w:r>
      <w:r>
        <w:rPr>
          <w:rFonts w:hint="eastAsia" w:ascii="仿宋" w:hAnsi="仿宋" w:eastAsia="仿宋" w:cs="仿宋"/>
          <w:b w:val="0"/>
          <w:bCs w:val="0"/>
          <w:kern w:val="2"/>
          <w:sz w:val="32"/>
          <w:szCs w:val="32"/>
        </w:rPr>
        <w:t>%，持续时间</w:t>
      </w:r>
      <w:r>
        <w:rPr>
          <w:rFonts w:ascii="仿宋" w:hAnsi="仿宋" w:eastAsia="仿宋" w:cs="仿宋"/>
          <w:b w:val="0"/>
          <w:bCs w:val="0"/>
          <w:kern w:val="2"/>
          <w:sz w:val="32"/>
          <w:szCs w:val="32"/>
        </w:rPr>
        <w:t>42</w:t>
      </w:r>
      <w:r>
        <w:rPr>
          <w:rFonts w:hint="eastAsia" w:ascii="仿宋" w:hAnsi="仿宋" w:eastAsia="仿宋" w:cs="仿宋"/>
          <w:b w:val="0"/>
          <w:bCs w:val="0"/>
          <w:kern w:val="2"/>
          <w:sz w:val="32"/>
          <w:szCs w:val="32"/>
        </w:rPr>
        <w:t>8s；1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月3</w:t>
      </w:r>
      <w:r>
        <w:rPr>
          <w:rFonts w:ascii="仿宋" w:hAnsi="仿宋" w:eastAsia="仿宋" w:cs="仿宋"/>
          <w:b w:val="0"/>
          <w:bCs w:val="0"/>
          <w:kern w:val="2"/>
          <w:sz w:val="32"/>
          <w:szCs w:val="32"/>
        </w:rPr>
        <w:t>1</w:t>
      </w:r>
      <w:r>
        <w:rPr>
          <w:rFonts w:hint="eastAsia" w:ascii="仿宋" w:hAnsi="仿宋" w:eastAsia="仿宋" w:cs="仿宋"/>
          <w:b w:val="0"/>
          <w:bCs w:val="0"/>
          <w:kern w:val="2"/>
          <w:sz w:val="32"/>
          <w:szCs w:val="32"/>
        </w:rPr>
        <w:t>日，工作面T</w:t>
      </w:r>
      <w:r>
        <w:rPr>
          <w:rFonts w:ascii="仿宋" w:hAnsi="仿宋" w:eastAsia="仿宋" w:cs="仿宋"/>
          <w:b w:val="0"/>
          <w:bCs w:val="0"/>
          <w:kern w:val="2"/>
          <w:sz w:val="32"/>
          <w:szCs w:val="32"/>
        </w:rPr>
        <w:t>1</w:t>
      </w:r>
      <w:r>
        <w:rPr>
          <w:rFonts w:hint="eastAsia" w:ascii="仿宋" w:hAnsi="仿宋" w:eastAsia="仿宋" w:cs="仿宋"/>
          <w:b w:val="0"/>
          <w:bCs w:val="0"/>
          <w:kern w:val="2"/>
          <w:sz w:val="32"/>
          <w:szCs w:val="32"/>
        </w:rPr>
        <w:t>甲烷传感器报警</w:t>
      </w:r>
      <w:r>
        <w:rPr>
          <w:rFonts w:ascii="仿宋" w:hAnsi="仿宋" w:eastAsia="仿宋" w:cs="仿宋"/>
          <w:b w:val="0"/>
          <w:bCs w:val="0"/>
          <w:kern w:val="2"/>
          <w:sz w:val="32"/>
          <w:szCs w:val="32"/>
        </w:rPr>
        <w:t>2</w:t>
      </w:r>
      <w:r>
        <w:rPr>
          <w:rFonts w:hint="eastAsia" w:ascii="仿宋" w:hAnsi="仿宋" w:eastAsia="仿宋" w:cs="仿宋"/>
          <w:b w:val="0"/>
          <w:bCs w:val="0"/>
          <w:kern w:val="2"/>
          <w:sz w:val="32"/>
          <w:szCs w:val="32"/>
        </w:rPr>
        <w:t>次，瓦斯浓度最大值1</w:t>
      </w:r>
      <w:r>
        <w:rPr>
          <w:rFonts w:ascii="仿宋" w:hAnsi="仿宋" w:eastAsia="仿宋" w:cs="仿宋"/>
          <w:b w:val="0"/>
          <w:bCs w:val="0"/>
          <w:kern w:val="2"/>
          <w:sz w:val="32"/>
          <w:szCs w:val="32"/>
        </w:rPr>
        <w:t>.91</w:t>
      </w:r>
      <w:r>
        <w:rPr>
          <w:rFonts w:hint="eastAsia" w:ascii="仿宋" w:hAnsi="仿宋" w:eastAsia="仿宋" w:cs="仿宋"/>
          <w:b w:val="0"/>
          <w:bCs w:val="0"/>
          <w:kern w:val="2"/>
          <w:sz w:val="32"/>
          <w:szCs w:val="32"/>
        </w:rPr>
        <w:t>%，最大时长</w:t>
      </w:r>
      <w:r>
        <w:rPr>
          <w:rFonts w:ascii="仿宋" w:hAnsi="仿宋" w:eastAsia="仿宋" w:cs="仿宋"/>
          <w:b w:val="0"/>
          <w:bCs w:val="0"/>
          <w:kern w:val="2"/>
          <w:sz w:val="32"/>
          <w:szCs w:val="32"/>
        </w:rPr>
        <w:t>636</w:t>
      </w:r>
      <w:r>
        <w:rPr>
          <w:rFonts w:hint="eastAsia" w:ascii="仿宋" w:hAnsi="仿宋" w:eastAsia="仿宋" w:cs="仿宋"/>
          <w:b w:val="0"/>
          <w:bCs w:val="0"/>
          <w:kern w:val="2"/>
          <w:sz w:val="32"/>
          <w:szCs w:val="32"/>
        </w:rPr>
        <w:t>s</w:t>
      </w:r>
      <w:r>
        <w:rPr>
          <w:rFonts w:ascii="仿宋" w:hAnsi="仿宋" w:eastAsia="仿宋" w:cs="仿宋"/>
          <w:b w:val="0"/>
          <w:bCs w:val="0"/>
          <w:kern w:val="2"/>
          <w:sz w:val="32"/>
          <w:szCs w:val="32"/>
        </w:rPr>
        <w:t>。</w:t>
      </w:r>
    </w:p>
    <w:p>
      <w:pPr>
        <w:pStyle w:val="40"/>
        <w:spacing w:line="600" w:lineRule="atLeast"/>
        <w:ind w:firstLine="596"/>
        <w:rPr>
          <w:rFonts w:ascii="仿宋" w:hAnsi="仿宋" w:eastAsia="仿宋" w:cs="仿宋"/>
          <w:kern w:val="2"/>
          <w:sz w:val="32"/>
          <w:szCs w:val="32"/>
        </w:rPr>
      </w:pPr>
      <w:r>
        <w:rPr>
          <w:rFonts w:hint="eastAsia" w:ascii="仿宋" w:hAnsi="仿宋" w:eastAsia="仿宋" w:cs="仿宋"/>
          <w:kern w:val="2"/>
          <w:sz w:val="32"/>
          <w:szCs w:val="32"/>
        </w:rPr>
        <w:t>五、事故经过和应急救援过程</w:t>
      </w:r>
    </w:p>
    <w:p>
      <w:pPr>
        <w:adjustRightInd w:val="0"/>
        <w:snapToGrid w:val="0"/>
        <w:spacing w:line="600" w:lineRule="atLeast"/>
        <w:ind w:firstLine="596"/>
        <w:rPr>
          <w:rFonts w:ascii="仿宋" w:hAnsi="仿宋" w:eastAsia="仿宋" w:cs="仿宋"/>
          <w:szCs w:val="32"/>
        </w:rPr>
      </w:pPr>
      <w:r>
        <w:rPr>
          <w:rFonts w:hint="eastAsia" w:ascii="仿宋" w:hAnsi="仿宋" w:eastAsia="仿宋" w:cs="仿宋"/>
          <w:b/>
          <w:bCs/>
          <w:szCs w:val="32"/>
        </w:rPr>
        <w:t>（一） 事故经过。</w:t>
      </w:r>
      <w:r>
        <w:rPr>
          <w:rFonts w:hint="eastAsia" w:ascii="仿宋_GB2312" w:eastAsia="仿宋_GB2312"/>
          <w:szCs w:val="32"/>
        </w:rPr>
        <w:t>2020年11月4日8点班，乔子梁煤矿掘一队、掘二队、通防队等各工作队，瓦检员、安检员等当班人员于7时许陆续入井。8时30分左右，安检员徐玉怀到达掘二队工作面，要求副队长程善军做好顶板支护工作，同时瓦检员李姚红对工作面瓦斯浓度进行检测，浓度为0.2%。随后，当班工人先后进行打顶锚、刷帮等工作。9时30分左右，驻矿安全监督员阮班贵在听说“零点班掘二队工作面瓦斯报警”后入井，阮班贵到达工作面后，检查瓦斯浓度为0.18%，并发现工作面仅有3个瓦斯释放孔，要求掘二队抓紧补打释放孔。11时10分，阮班贵离开掘二队工作面后到掘一队工作面检查了安全情况，随后升井。</w:t>
      </w:r>
    </w:p>
    <w:p>
      <w:pPr>
        <w:spacing w:line="560" w:lineRule="exact"/>
        <w:ind w:firstLine="594"/>
        <w:rPr>
          <w:rFonts w:ascii="仿宋_GB2312" w:eastAsia="仿宋_GB2312"/>
          <w:szCs w:val="32"/>
        </w:rPr>
      </w:pPr>
      <w:r>
        <w:rPr>
          <w:rFonts w:hint="eastAsia" w:ascii="仿宋_GB2312" w:eastAsia="仿宋_GB2312"/>
          <w:szCs w:val="32"/>
        </w:rPr>
        <w:t>11时30分（调度记录），副队长程善军向调度室汇报“掘进正常，风机（55kw）安好，中班电工下井送电”。12时左右，安检员徐玉怀准备去掘一队工作面检查时，发现皮带运转了（出煤），当他沿59皮带下山往上走到四联巷口碰到余峰、魏社会等人，正准备打招呼时，突然听到“嗵、嗵、嗵”连续6、7声巨响，感觉底板像要翻起来一样，还有“呛人的气味”，就失去知觉。正在休息的皮带机司机崔长民、机运队检修工郭金锁和随后跑出来的另一名皮带司机石从刚3人，听见巨响后立即往出跑，途中昏倒在地。掘一队副队长曹宗安等6人沿工作面往外跑。</w:t>
      </w:r>
    </w:p>
    <w:p>
      <w:pPr>
        <w:spacing w:line="560" w:lineRule="exact"/>
        <w:ind w:firstLine="594"/>
        <w:rPr>
          <w:rFonts w:ascii="仿宋_GB2312" w:eastAsia="仿宋_GB2312"/>
          <w:szCs w:val="32"/>
        </w:rPr>
      </w:pPr>
      <w:r>
        <w:rPr>
          <w:rFonts w:hint="eastAsia" w:ascii="仿宋_GB2312" w:eastAsia="仿宋_GB2312"/>
          <w:szCs w:val="32"/>
        </w:rPr>
        <w:t>12时15分左右，调度室监控值班员徐淑玲发现监控屏幕瓦斯数值变红、报警，当即给当班调度员李文哲打电话汇报并让其通知领导，李文哲随即向安全副矿长郝彬、机电副矿长陈汉风、技术科科长鲍春喜、生产副矿长杨小奇汇报了情况。随后李文哲给井下掘一队、掘二队、59采区中部水仓打电话，电话均无人接听，便向59皮带下山一部机头司机打电话通知“抓紧撤到进风大巷，并通知井下人员撤离”。杨小奇在调度室了解情况后，向矿长张应忠打电话汇报，同时安排机电副矿长陈汉风在调度室指挥。</w:t>
      </w:r>
    </w:p>
    <w:p>
      <w:pPr>
        <w:spacing w:line="560" w:lineRule="exact"/>
        <w:ind w:firstLine="594"/>
        <w:rPr>
          <w:rFonts w:ascii="仿宋_GB2312" w:eastAsia="仿宋_GB2312"/>
          <w:szCs w:val="32"/>
        </w:rPr>
      </w:pPr>
      <w:r>
        <w:rPr>
          <w:rFonts w:hint="eastAsia" w:ascii="仿宋_GB2312" w:eastAsia="仿宋_GB2312"/>
          <w:szCs w:val="32"/>
        </w:rPr>
        <w:t>12时30分许杨小奇带领安全副矿长郝彬、综掘队长陈洪平、安检科长李香虎等人下井救援。12时40分（调度记录）昏倒的安检员徐玉怀醒来后，用电话向调度室汇报“井下出事了，工作面爆，让撤人”。下井救援的杨小奇等人陆续碰见往外撤离的掘一队曹宗安等工人，通过曹宗安了解到掘一队的工人全部撤离，59皮带下山还有1人未撤出后，继续往里走，走到掘二队风机附近发现4人躺在地上已无呼吸，并向调度室进行了汇报，矿长张应忠在调度室接到电话后要求杨小奇等人撤到59变电所待命，不要进工作面，13时52分杨小奇等人返到59变电所。</w:t>
      </w:r>
    </w:p>
    <w:p>
      <w:pPr>
        <w:spacing w:line="560" w:lineRule="exact"/>
        <w:ind w:firstLine="594"/>
        <w:rPr>
          <w:rFonts w:ascii="仿宋_GB2312" w:eastAsia="仿宋_GB2312"/>
          <w:szCs w:val="32"/>
        </w:rPr>
      </w:pPr>
      <w:r>
        <w:rPr>
          <w:rFonts w:hint="eastAsia" w:ascii="仿宋_GB2312" w:eastAsia="仿宋_GB2312"/>
          <w:szCs w:val="32"/>
        </w:rPr>
        <w:t>15时52分，救护队到达井下59变电所，由生产副矿长杨小奇带领进入灾区搜救，其余救援人员升井。</w:t>
      </w:r>
    </w:p>
    <w:p>
      <w:pPr>
        <w:spacing w:line="560" w:lineRule="exact"/>
        <w:ind w:firstLine="594"/>
        <w:rPr>
          <w:rFonts w:ascii="仿宋_GB2312" w:eastAsia="仿宋_GB2312"/>
          <w:szCs w:val="32"/>
        </w:rPr>
      </w:pPr>
      <w:r>
        <w:rPr>
          <w:rFonts w:hint="eastAsia" w:ascii="仿宋_GB2312" w:eastAsia="仿宋_GB2312"/>
          <w:szCs w:val="32"/>
        </w:rPr>
        <w:t>经印台区政府组织有关部门认真摸排，确认当班带班领导许晓年、瓦检员李姚红和掘二队6名人员共计8人失联。</w:t>
      </w:r>
    </w:p>
    <w:p>
      <w:pPr>
        <w:pStyle w:val="2"/>
        <w:ind w:firstLine="594"/>
        <w:rPr>
          <w:lang w:eastAsia="zh-CN"/>
        </w:rPr>
      </w:pPr>
      <w:r>
        <w:rPr>
          <w:rFonts w:hint="eastAsia" w:ascii="仿宋_GB2312" w:eastAsia="仿宋_GB2312"/>
          <w:szCs w:val="32"/>
          <w:lang w:eastAsia="zh-CN"/>
        </w:rPr>
        <w:t>14时左右，救护车赶到乔子梁煤矿。先后将受伤的徐玉明送到铜川矿务局医院治疗，将另外12名呼吸受到影响的人员送到铜川市人民医院观察治疗。</w:t>
      </w:r>
    </w:p>
    <w:p>
      <w:pPr>
        <w:adjustRightInd w:val="0"/>
        <w:snapToGrid w:val="0"/>
        <w:spacing w:line="600" w:lineRule="atLeast"/>
        <w:ind w:firstLine="446" w:firstLineChars="150"/>
        <w:rPr>
          <w:rFonts w:ascii="仿宋" w:hAnsi="仿宋" w:eastAsia="仿宋" w:cs="仿宋"/>
          <w:b/>
          <w:color w:val="000000"/>
          <w:kern w:val="0"/>
          <w:szCs w:val="32"/>
          <w:shd w:val="clear" w:color="auto" w:fill="FFFFFF"/>
        </w:rPr>
      </w:pPr>
      <w:r>
        <w:rPr>
          <w:rFonts w:hint="eastAsia" w:ascii="仿宋" w:hAnsi="仿宋" w:eastAsia="仿宋" w:cs="仿宋"/>
          <w:b/>
          <w:bCs/>
          <w:szCs w:val="32"/>
        </w:rPr>
        <w:t>（二）事故信息报吿。</w:t>
      </w:r>
      <w:r>
        <w:rPr>
          <w:rFonts w:hint="eastAsia" w:ascii="仿宋" w:hAnsi="仿宋" w:eastAsia="仿宋" w:cs="仿宋_GB2312"/>
          <w:szCs w:val="32"/>
        </w:rPr>
        <w:t>2020年11月4日12时15分许，调度室安全监测监控系统报警，59采区瓦斯全部超限，浓度瞬间超过传感器量程（4%）。当班监控员徐淑玲迅速将情况汇报给值班调度员李文哲，李文哲立即向生产矿长杨小奇汇报。12时25分左右，杨小奇向出差途中的矿长张应忠汇报了井下情况，张应忠要求与井下联系上后立即叫他们断电撤人。12时45分，张应忠向印台区煤炭局局长郭怡汇报了煤矿井下情况，13时10分左右，煤炭局局长郭怡向铜川救护大队请求救援，并向铜川煤监分局汇报了井下情况。</w:t>
      </w:r>
      <w:r>
        <w:rPr>
          <w:rFonts w:hint="eastAsia" w:ascii="仿宋" w:hAnsi="仿宋" w:eastAsia="仿宋" w:cs="仿宋"/>
          <w:color w:val="000000"/>
          <w:kern w:val="0"/>
          <w:szCs w:val="32"/>
          <w:shd w:val="clear" w:color="auto" w:fill="FFFFFF"/>
        </w:rPr>
        <w:t>13时15分，陕西煤矿安监局得到事故信息后，局长田光雄同志立即带领相关处室人员赶赴事故矿井，同时向国家煤矿安监局、应急管理部报告，并</w:t>
      </w:r>
      <w:r>
        <w:rPr>
          <w:rFonts w:hint="eastAsia" w:ascii="仿宋" w:hAnsi="仿宋" w:eastAsia="仿宋" w:cs="仿宋"/>
          <w:szCs w:val="32"/>
        </w:rPr>
        <w:t>紧急调动陕煤集团韩城矿业救护大队参加救援。</w:t>
      </w:r>
    </w:p>
    <w:p>
      <w:pPr>
        <w:widowControl/>
        <w:shd w:val="clear" w:color="auto" w:fill="FFFFFF"/>
        <w:ind w:firstLine="596"/>
        <w:rPr>
          <w:rFonts w:ascii="仿宋" w:hAnsi="仿宋" w:eastAsia="仿宋" w:cs="仿宋"/>
          <w:b/>
          <w:bCs/>
          <w:color w:val="000000"/>
          <w:kern w:val="0"/>
          <w:szCs w:val="32"/>
          <w:shd w:val="clear" w:color="auto" w:fill="FFFFFF"/>
        </w:rPr>
      </w:pPr>
      <w:r>
        <w:rPr>
          <w:rFonts w:hint="eastAsia" w:ascii="仿宋" w:hAnsi="仿宋" w:eastAsia="仿宋" w:cs="仿宋"/>
          <w:b/>
          <w:bCs/>
          <w:color w:val="000000"/>
          <w:kern w:val="0"/>
          <w:szCs w:val="32"/>
          <w:shd w:val="clear" w:color="auto" w:fill="FFFFFF"/>
        </w:rPr>
        <w:t xml:space="preserve">（三）现场应急响应及处置 </w:t>
      </w:r>
    </w:p>
    <w:p>
      <w:pPr>
        <w:adjustRightInd w:val="0"/>
        <w:snapToGrid w:val="0"/>
        <w:ind w:firstLine="594"/>
        <w:rPr>
          <w:rFonts w:ascii="仿宋" w:hAnsi="仿宋" w:eastAsia="仿宋" w:cs="仿宋"/>
          <w:color w:val="000000"/>
          <w:kern w:val="0"/>
          <w:szCs w:val="32"/>
          <w:shd w:val="clear" w:color="auto" w:fill="FFFFFF"/>
        </w:rPr>
      </w:pPr>
      <w:r>
        <w:rPr>
          <w:rFonts w:hint="eastAsia" w:ascii="仿宋" w:hAnsi="仿宋" w:eastAsia="仿宋" w:cs="仿宋"/>
          <w:color w:val="000000"/>
          <w:kern w:val="0"/>
          <w:szCs w:val="32"/>
          <w:shd w:val="clear" w:color="auto" w:fill="FFFFFF"/>
        </w:rPr>
        <w:t>事故发生前，当班入井42人，事故发生后，6人入井，其中40人安全升井，8人失联。铜川矿山救护大队和韩城矿山救护大队先后赶到事故现场后，多批次开展现场勘查和井下抢险救援工作。</w:t>
      </w:r>
    </w:p>
    <w:p>
      <w:pPr>
        <w:adjustRightInd w:val="0"/>
        <w:snapToGrid w:val="0"/>
        <w:ind w:firstLine="596"/>
        <w:rPr>
          <w:rFonts w:ascii="仿宋" w:hAnsi="仿宋" w:eastAsia="仿宋" w:cs="仿宋"/>
          <w:color w:val="000000"/>
          <w:kern w:val="0"/>
          <w:szCs w:val="32"/>
          <w:shd w:val="clear" w:color="auto" w:fill="FFFFFF"/>
        </w:rPr>
      </w:pPr>
      <w:r>
        <w:rPr>
          <w:rFonts w:hint="eastAsia" w:ascii="仿宋" w:hAnsi="仿宋" w:eastAsia="仿宋" w:cs="仿宋"/>
          <w:b/>
          <w:szCs w:val="32"/>
        </w:rPr>
        <w:t>1.事故响应。</w:t>
      </w:r>
      <w:r>
        <w:rPr>
          <w:rFonts w:hint="eastAsia" w:ascii="仿宋" w:hAnsi="仿宋" w:eastAsia="仿宋" w:cs="仿宋"/>
          <w:color w:val="000000"/>
          <w:kern w:val="0"/>
          <w:szCs w:val="32"/>
          <w:shd w:val="clear" w:color="auto" w:fill="FFFFFF"/>
        </w:rPr>
        <w:t>11月4日14时15分，铜川矿山救护大队3个小队39人到达乔子梁煤矿，了解矿方</w:t>
      </w:r>
      <w:r>
        <w:rPr>
          <w:rFonts w:hint="eastAsia" w:ascii="仿宋" w:hAnsi="仿宋" w:eastAsia="仿宋" w:cs="仿宋"/>
          <w:szCs w:val="32"/>
        </w:rPr>
        <w:t>井下情况、安排编制《事故行动计划与安全技术措施》,</w:t>
      </w:r>
      <w:r>
        <w:rPr>
          <w:rFonts w:hint="eastAsia" w:ascii="仿宋" w:hAnsi="仿宋" w:eastAsia="仿宋" w:cs="仿宋"/>
          <w:color w:val="000000"/>
          <w:kern w:val="0"/>
          <w:szCs w:val="32"/>
          <w:shd w:val="clear" w:color="auto" w:fill="FFFFFF"/>
        </w:rPr>
        <w:t>21时45分，韩城矿山救护大队2个小队26人到达乔子梁煤矿。</w:t>
      </w:r>
    </w:p>
    <w:p>
      <w:pPr>
        <w:adjustRightInd w:val="0"/>
        <w:snapToGrid w:val="0"/>
        <w:ind w:firstLine="596"/>
        <w:rPr>
          <w:rFonts w:ascii="仿宋" w:hAnsi="仿宋" w:eastAsia="仿宋" w:cs="仿宋"/>
          <w:b/>
          <w:szCs w:val="32"/>
        </w:rPr>
      </w:pPr>
      <w:r>
        <w:rPr>
          <w:rFonts w:hint="eastAsia" w:ascii="仿宋" w:hAnsi="仿宋" w:eastAsia="仿宋" w:cs="仿宋"/>
          <w:b/>
          <w:szCs w:val="32"/>
        </w:rPr>
        <w:t>2.救援侦察准备、更换局扇、排放瓦斯及清理突出煤和搜寻失联人员。</w:t>
      </w:r>
    </w:p>
    <w:p>
      <w:pPr>
        <w:ind w:firstLine="594"/>
        <w:jc w:val="left"/>
        <w:rPr>
          <w:rFonts w:ascii="仿宋" w:hAnsi="仿宋" w:eastAsia="仿宋" w:cs="仿宋"/>
          <w:szCs w:val="32"/>
        </w:rPr>
      </w:pPr>
      <w:r>
        <w:rPr>
          <w:rFonts w:ascii="仿宋" w:hAnsi="仿宋" w:eastAsia="仿宋" w:cs="仿宋"/>
          <w:szCs w:val="32"/>
        </w:rPr>
        <w:t>11</w:t>
      </w:r>
      <w:r>
        <w:rPr>
          <w:rFonts w:hint="eastAsia" w:ascii="仿宋" w:hAnsi="仿宋" w:eastAsia="仿宋" w:cs="仿宋"/>
          <w:szCs w:val="32"/>
        </w:rPr>
        <w:t>月4日对59皮带下山、59回风下山和5</w:t>
      </w:r>
      <w:r>
        <w:rPr>
          <w:rFonts w:hint="eastAsia" w:ascii="仿宋" w:hAnsi="仿宋" w:eastAsia="仿宋" w:cs="仿宋"/>
          <w:szCs w:val="32"/>
          <w:vertAlign w:val="superscript"/>
        </w:rPr>
        <w:t>#</w:t>
      </w:r>
      <w:r>
        <w:rPr>
          <w:rFonts w:hint="eastAsia" w:ascii="仿宋" w:hAnsi="仿宋" w:eastAsia="仿宋" w:cs="仿宋"/>
          <w:szCs w:val="32"/>
        </w:rPr>
        <w:t>联巷分别进行侦察侦查。在5</w:t>
      </w:r>
      <w:r>
        <w:rPr>
          <w:rFonts w:hint="eastAsia" w:ascii="仿宋" w:hAnsi="仿宋" w:eastAsia="仿宋" w:cs="仿宋"/>
          <w:szCs w:val="32"/>
          <w:vertAlign w:val="superscript"/>
        </w:rPr>
        <w:t>#</w:t>
      </w:r>
      <w:r>
        <w:rPr>
          <w:rFonts w:hint="eastAsia" w:ascii="仿宋" w:hAnsi="仿宋" w:eastAsia="仿宋" w:cs="仿宋"/>
          <w:szCs w:val="32"/>
        </w:rPr>
        <w:t>联巷风机处发现4名遇难人员。</w:t>
      </w:r>
    </w:p>
    <w:p>
      <w:pPr>
        <w:ind w:firstLine="594"/>
        <w:jc w:val="left"/>
        <w:rPr>
          <w:rFonts w:ascii="仿宋" w:hAnsi="仿宋" w:eastAsia="仿宋" w:cs="仿宋"/>
          <w:szCs w:val="32"/>
        </w:rPr>
      </w:pPr>
      <w:r>
        <w:rPr>
          <w:rFonts w:ascii="仿宋" w:hAnsi="仿宋" w:eastAsia="仿宋" w:cs="仿宋"/>
          <w:szCs w:val="32"/>
        </w:rPr>
        <w:t>11</w:t>
      </w:r>
      <w:r>
        <w:rPr>
          <w:rFonts w:hint="eastAsia" w:ascii="仿宋" w:hAnsi="仿宋" w:eastAsia="仿宋" w:cs="仿宋"/>
          <w:szCs w:val="32"/>
        </w:rPr>
        <w:t>月5日对5</w:t>
      </w:r>
      <w:r>
        <w:rPr>
          <w:rFonts w:ascii="仿宋" w:hAnsi="仿宋" w:eastAsia="仿宋" w:cs="仿宋"/>
          <w:szCs w:val="32"/>
        </w:rPr>
        <w:t>9</w:t>
      </w:r>
      <w:r>
        <w:rPr>
          <w:rFonts w:hint="eastAsia" w:ascii="仿宋" w:hAnsi="仿宋" w:eastAsia="仿宋" w:cs="仿宋"/>
          <w:szCs w:val="32"/>
        </w:rPr>
        <w:t>采区所有巷道进行全面侦察。</w:t>
      </w:r>
    </w:p>
    <w:p>
      <w:pPr>
        <w:pStyle w:val="2"/>
        <w:ind w:firstLine="594"/>
        <w:rPr>
          <w:rFonts w:ascii="仿宋" w:hAnsi="仿宋" w:eastAsia="仿宋" w:cs="仿宋"/>
          <w:szCs w:val="32"/>
          <w:lang w:eastAsia="zh-CN"/>
        </w:rPr>
      </w:pPr>
      <w:r>
        <w:rPr>
          <w:rFonts w:hint="eastAsia" w:ascii="仿宋" w:hAnsi="仿宋" w:eastAsia="仿宋" w:cs="仿宋"/>
          <w:szCs w:val="32"/>
          <w:lang w:eastAsia="zh-CN"/>
        </w:rPr>
        <w:t>1</w:t>
      </w:r>
      <w:r>
        <w:rPr>
          <w:rFonts w:ascii="仿宋" w:hAnsi="仿宋" w:eastAsia="仿宋" w:cs="仿宋"/>
          <w:szCs w:val="32"/>
          <w:lang w:eastAsia="zh-CN"/>
        </w:rPr>
        <w:t>1</w:t>
      </w:r>
      <w:r>
        <w:rPr>
          <w:rFonts w:hint="eastAsia" w:ascii="仿宋" w:hAnsi="仿宋" w:eastAsia="仿宋" w:cs="仿宋"/>
          <w:szCs w:val="32"/>
          <w:lang w:eastAsia="zh-CN"/>
        </w:rPr>
        <w:t>月6日，救护巷道消尘、更换局扇及排放瓦斯。对59采区皮带下山、5</w:t>
      </w:r>
      <w:r>
        <w:rPr>
          <w:rFonts w:hint="eastAsia" w:ascii="仿宋" w:hAnsi="仿宋" w:eastAsia="仿宋" w:cs="仿宋"/>
          <w:szCs w:val="32"/>
          <w:vertAlign w:val="superscript"/>
          <w:lang w:eastAsia="zh-CN"/>
        </w:rPr>
        <w:t>#</w:t>
      </w:r>
      <w:r>
        <w:rPr>
          <w:rFonts w:hint="eastAsia" w:ascii="仿宋" w:hAnsi="仿宋" w:eastAsia="仿宋" w:cs="仿宋"/>
          <w:szCs w:val="32"/>
          <w:lang w:eastAsia="zh-CN"/>
        </w:rPr>
        <w:t>联巷及59采区回风下山进行洒水降尘；安装新购置1</w:t>
      </w:r>
      <w:r>
        <w:rPr>
          <w:rFonts w:ascii="仿宋" w:hAnsi="仿宋" w:eastAsia="仿宋" w:cs="仿宋"/>
          <w:szCs w:val="32"/>
          <w:lang w:eastAsia="zh-CN"/>
        </w:rPr>
        <w:t>1</w:t>
      </w:r>
      <w:r>
        <w:rPr>
          <w:rFonts w:hint="eastAsia" w:ascii="仿宋" w:hAnsi="仿宋" w:eastAsia="仿宋" w:cs="仿宋"/>
          <w:szCs w:val="32"/>
          <w:lang w:eastAsia="zh-CN"/>
        </w:rPr>
        <w:t>KW风机，连接风筒6节，排放5</w:t>
      </w:r>
      <w:r>
        <w:rPr>
          <w:rFonts w:hint="eastAsia" w:ascii="仿宋" w:hAnsi="仿宋" w:eastAsia="仿宋" w:cs="仿宋"/>
          <w:szCs w:val="32"/>
          <w:vertAlign w:val="superscript"/>
          <w:lang w:eastAsia="zh-CN"/>
        </w:rPr>
        <w:t>#</w:t>
      </w:r>
      <w:r>
        <w:rPr>
          <w:rFonts w:hint="eastAsia" w:ascii="仿宋" w:hAnsi="仿宋" w:eastAsia="仿宋" w:cs="仿宋"/>
          <w:szCs w:val="32"/>
          <w:lang w:eastAsia="zh-CN"/>
        </w:rPr>
        <w:t>联巷和掘进工作面瓦斯。</w:t>
      </w:r>
    </w:p>
    <w:p>
      <w:pPr>
        <w:pStyle w:val="2"/>
        <w:ind w:firstLine="594"/>
        <w:rPr>
          <w:rFonts w:ascii="仿宋" w:hAnsi="仿宋" w:eastAsia="仿宋" w:cs="仿宋"/>
          <w:szCs w:val="32"/>
          <w:lang w:eastAsia="zh-CN"/>
        </w:rPr>
      </w:pPr>
      <w:r>
        <w:rPr>
          <w:rFonts w:hint="eastAsia" w:ascii="仿宋" w:hAnsi="仿宋" w:eastAsia="仿宋" w:cs="仿宋"/>
          <w:szCs w:val="32"/>
          <w:lang w:eastAsia="zh-CN"/>
        </w:rPr>
        <w:t>11月7日-10日，清理突出物搜寻失联人员。</w:t>
      </w:r>
      <w:r>
        <w:rPr>
          <w:rFonts w:hint="eastAsia" w:ascii="仿宋" w:hAnsi="仿宋" w:eastAsia="仿宋"/>
          <w:szCs w:val="32"/>
          <w:lang w:eastAsia="zh-CN"/>
        </w:rPr>
        <w:t>救援搜救期间共清理巷道89.6m，其中59皮带下山23.6m、5</w:t>
      </w:r>
      <w:r>
        <w:rPr>
          <w:rFonts w:hint="eastAsia" w:ascii="仿宋" w:hAnsi="仿宋" w:eastAsia="仿宋"/>
          <w:szCs w:val="32"/>
          <w:vertAlign w:val="superscript"/>
          <w:lang w:eastAsia="zh-CN"/>
        </w:rPr>
        <w:t>#</w:t>
      </w:r>
      <w:r>
        <w:rPr>
          <w:rFonts w:hint="eastAsia" w:ascii="仿宋" w:hAnsi="仿宋" w:eastAsia="仿宋"/>
          <w:szCs w:val="32"/>
          <w:lang w:eastAsia="zh-CN"/>
        </w:rPr>
        <w:t>联巷35m、掘进工作面16m。从7日</w:t>
      </w:r>
      <w:r>
        <w:rPr>
          <w:rFonts w:hint="eastAsia" w:ascii="仿宋" w:hAnsi="仿宋" w:eastAsia="仿宋" w:cs="仿宋"/>
          <w:szCs w:val="32"/>
          <w:lang w:eastAsia="zh-CN"/>
        </w:rPr>
        <w:t>5时25分至10日2</w:t>
      </w:r>
      <w:r>
        <w:rPr>
          <w:rFonts w:ascii="仿宋" w:hAnsi="仿宋" w:eastAsia="仿宋" w:cs="仿宋"/>
          <w:szCs w:val="32"/>
          <w:lang w:eastAsia="zh-CN"/>
        </w:rPr>
        <w:t>3</w:t>
      </w:r>
      <w:r>
        <w:rPr>
          <w:rFonts w:hint="eastAsia" w:ascii="仿宋" w:hAnsi="仿宋" w:eastAsia="仿宋" w:cs="仿宋"/>
          <w:szCs w:val="32"/>
          <w:lang w:eastAsia="zh-CN"/>
        </w:rPr>
        <w:t>时4</w:t>
      </w:r>
      <w:r>
        <w:rPr>
          <w:rFonts w:ascii="仿宋" w:hAnsi="仿宋" w:eastAsia="仿宋" w:cs="仿宋"/>
          <w:szCs w:val="32"/>
          <w:lang w:eastAsia="zh-CN"/>
        </w:rPr>
        <w:t>5</w:t>
      </w:r>
      <w:r>
        <w:rPr>
          <w:rFonts w:hint="eastAsia" w:ascii="仿宋" w:hAnsi="仿宋" w:eastAsia="仿宋" w:cs="仿宋"/>
          <w:szCs w:val="32"/>
          <w:lang w:eastAsia="zh-CN"/>
        </w:rPr>
        <w:t>分先后找到5#、6#、7#和8#遇难人员。</w:t>
      </w:r>
    </w:p>
    <w:p>
      <w:pPr>
        <w:ind w:firstLine="594"/>
        <w:jc w:val="left"/>
        <w:rPr>
          <w:rFonts w:ascii="仿宋" w:hAnsi="仿宋" w:eastAsia="仿宋"/>
          <w:szCs w:val="32"/>
        </w:rPr>
      </w:pPr>
      <w:r>
        <w:rPr>
          <w:rFonts w:hint="eastAsia" w:ascii="仿宋" w:hAnsi="仿宋" w:eastAsia="仿宋" w:cs="仿宋"/>
          <w:szCs w:val="32"/>
        </w:rPr>
        <w:t>1</w:t>
      </w:r>
      <w:r>
        <w:rPr>
          <w:rFonts w:ascii="仿宋" w:hAnsi="仿宋" w:eastAsia="仿宋" w:cs="仿宋"/>
          <w:szCs w:val="32"/>
        </w:rPr>
        <w:t>1</w:t>
      </w:r>
      <w:r>
        <w:rPr>
          <w:rFonts w:hint="eastAsia" w:ascii="仿宋" w:hAnsi="仿宋" w:eastAsia="仿宋" w:cs="仿宋"/>
          <w:szCs w:val="32"/>
        </w:rPr>
        <w:t>月11日-1</w:t>
      </w:r>
      <w:r>
        <w:rPr>
          <w:rFonts w:ascii="仿宋" w:hAnsi="仿宋" w:eastAsia="仿宋" w:cs="仿宋"/>
          <w:szCs w:val="32"/>
        </w:rPr>
        <w:t>2</w:t>
      </w:r>
      <w:r>
        <w:rPr>
          <w:rFonts w:hint="eastAsia" w:ascii="仿宋" w:hAnsi="仿宋" w:eastAsia="仿宋" w:cs="仿宋"/>
          <w:szCs w:val="32"/>
        </w:rPr>
        <w:t>日，恢复巷道，为现场勘查创造条件。清理</w:t>
      </w:r>
      <w:r>
        <w:rPr>
          <w:rFonts w:ascii="仿宋" w:hAnsi="仿宋" w:eastAsia="仿宋" w:cs="仿宋"/>
          <w:szCs w:val="32"/>
        </w:rPr>
        <w:t>5</w:t>
      </w:r>
      <w:r>
        <w:rPr>
          <w:rFonts w:ascii="仿宋" w:hAnsi="仿宋" w:eastAsia="仿宋" w:cs="仿宋"/>
          <w:szCs w:val="32"/>
          <w:vertAlign w:val="superscript"/>
        </w:rPr>
        <w:t>#</w:t>
      </w:r>
      <w:r>
        <w:rPr>
          <w:rFonts w:hint="eastAsia" w:ascii="仿宋" w:hAnsi="仿宋" w:eastAsia="仿宋" w:cs="仿宋"/>
          <w:szCs w:val="32"/>
        </w:rPr>
        <w:t>联巷剩余的1</w:t>
      </w:r>
      <w:r>
        <w:rPr>
          <w:rFonts w:ascii="仿宋" w:hAnsi="仿宋" w:eastAsia="仿宋" w:cs="仿宋"/>
          <w:szCs w:val="32"/>
        </w:rPr>
        <w:t>5</w:t>
      </w:r>
      <w:r>
        <w:rPr>
          <w:rFonts w:hint="eastAsia" w:ascii="仿宋" w:hAnsi="仿宋" w:eastAsia="仿宋" w:cs="仿宋"/>
          <w:szCs w:val="32"/>
        </w:rPr>
        <w:t>m突出物，12日1</w:t>
      </w:r>
      <w:r>
        <w:rPr>
          <w:rFonts w:ascii="仿宋" w:hAnsi="仿宋" w:eastAsia="仿宋" w:cs="仿宋"/>
          <w:szCs w:val="32"/>
        </w:rPr>
        <w:t>3</w:t>
      </w:r>
      <w:r>
        <w:rPr>
          <w:rFonts w:hint="eastAsia" w:ascii="仿宋" w:hAnsi="仿宋" w:eastAsia="仿宋" w:cs="仿宋"/>
          <w:szCs w:val="32"/>
        </w:rPr>
        <w:t>时4</w:t>
      </w:r>
      <w:r>
        <w:rPr>
          <w:rFonts w:ascii="仿宋" w:hAnsi="仿宋" w:eastAsia="仿宋" w:cs="仿宋"/>
          <w:szCs w:val="32"/>
        </w:rPr>
        <w:t>0</w:t>
      </w:r>
      <w:r>
        <w:rPr>
          <w:rFonts w:hint="eastAsia" w:ascii="仿宋" w:hAnsi="仿宋" w:eastAsia="仿宋" w:cs="仿宋"/>
          <w:szCs w:val="32"/>
        </w:rPr>
        <w:t>分清理完毕，救援结束。</w:t>
      </w:r>
    </w:p>
    <w:p>
      <w:pPr>
        <w:adjustRightInd w:val="0"/>
        <w:snapToGrid w:val="0"/>
        <w:ind w:firstLine="570" w:firstLineChars="192"/>
        <w:rPr>
          <w:rFonts w:ascii="仿宋" w:hAnsi="仿宋" w:eastAsia="仿宋" w:cs="仿宋"/>
          <w:b/>
          <w:bCs/>
          <w:szCs w:val="32"/>
        </w:rPr>
      </w:pPr>
      <w:r>
        <w:rPr>
          <w:rFonts w:hint="eastAsia" w:ascii="仿宋" w:hAnsi="仿宋" w:eastAsia="仿宋" w:cs="仿宋"/>
          <w:b/>
          <w:bCs/>
          <w:szCs w:val="32"/>
        </w:rPr>
        <w:t>（四）事故善后处理情况</w:t>
      </w:r>
    </w:p>
    <w:p>
      <w:pPr>
        <w:adjustRightInd w:val="0"/>
        <w:snapToGrid w:val="0"/>
        <w:spacing w:line="600" w:lineRule="atLeast"/>
        <w:ind w:firstLine="570" w:firstLineChars="192"/>
        <w:rPr>
          <w:rFonts w:ascii="仿宋" w:hAnsi="仿宋" w:eastAsia="仿宋" w:cs="仿宋"/>
          <w:szCs w:val="32"/>
        </w:rPr>
      </w:pPr>
      <w:r>
        <w:rPr>
          <w:rFonts w:hint="eastAsia" w:ascii="仿宋" w:hAnsi="仿宋" w:eastAsia="仿宋" w:cs="仿宋"/>
          <w:szCs w:val="32"/>
        </w:rPr>
        <w:t>在应急救援指挥部领导下，善后处理工作组设立8个工作小组开展遇难人员家属安抚和赔偿工作，止11月17日，已按相关规定全部处理完毕遇难矿工善后事宜。</w:t>
      </w:r>
    </w:p>
    <w:p>
      <w:pPr>
        <w:adjustRightInd w:val="0"/>
        <w:snapToGrid w:val="0"/>
        <w:spacing w:line="600" w:lineRule="atLeast"/>
        <w:ind w:firstLine="570" w:firstLineChars="192"/>
        <w:rPr>
          <w:rFonts w:ascii="仿宋" w:hAnsi="仿宋" w:eastAsia="仿宋" w:cs="仿宋"/>
          <w:b/>
          <w:bCs/>
          <w:szCs w:val="32"/>
        </w:rPr>
      </w:pPr>
      <w:r>
        <w:rPr>
          <w:rFonts w:hint="eastAsia" w:ascii="仿宋" w:hAnsi="仿宋" w:eastAsia="仿宋" w:cs="仿宋"/>
          <w:b/>
          <w:bCs/>
          <w:szCs w:val="32"/>
        </w:rPr>
        <w:t xml:space="preserve">六、事故现场勘查情况  </w:t>
      </w:r>
    </w:p>
    <w:p>
      <w:pPr>
        <w:pStyle w:val="40"/>
        <w:spacing w:line="600" w:lineRule="atLeast"/>
        <w:ind w:firstLine="594"/>
        <w:rPr>
          <w:rFonts w:ascii="仿宋" w:hAnsi="仿宋" w:eastAsia="仿宋" w:cs="仿宋"/>
          <w:b w:val="0"/>
          <w:bCs w:val="0"/>
          <w:kern w:val="2"/>
          <w:sz w:val="32"/>
          <w:szCs w:val="32"/>
        </w:rPr>
      </w:pPr>
      <w:r>
        <w:rPr>
          <w:rFonts w:ascii="仿宋" w:hAnsi="仿宋" w:eastAsia="仿宋" w:cs="仿宋"/>
          <w:b w:val="0"/>
          <w:bCs w:val="0"/>
          <w:kern w:val="2"/>
          <w:sz w:val="32"/>
          <w:szCs w:val="32"/>
        </w:rPr>
        <w:t>2020年</w:t>
      </w:r>
      <w:r>
        <w:rPr>
          <w:rFonts w:hint="eastAsia" w:ascii="仿宋" w:hAnsi="仿宋" w:eastAsia="仿宋" w:cs="仿宋"/>
          <w:b w:val="0"/>
          <w:bCs w:val="0"/>
          <w:kern w:val="2"/>
          <w:sz w:val="32"/>
          <w:szCs w:val="32"/>
        </w:rPr>
        <w:t>11</w:t>
      </w:r>
      <w:r>
        <w:rPr>
          <w:rFonts w:ascii="仿宋" w:hAnsi="仿宋" w:eastAsia="仿宋" w:cs="仿宋"/>
          <w:b w:val="0"/>
          <w:bCs w:val="0"/>
          <w:kern w:val="2"/>
          <w:sz w:val="32"/>
          <w:szCs w:val="32"/>
        </w:rPr>
        <w:t>月</w:t>
      </w:r>
      <w:r>
        <w:rPr>
          <w:rFonts w:hint="eastAsia" w:ascii="仿宋" w:hAnsi="仿宋" w:eastAsia="仿宋" w:cs="仿宋"/>
          <w:b w:val="0"/>
          <w:bCs w:val="0"/>
          <w:kern w:val="2"/>
          <w:sz w:val="32"/>
          <w:szCs w:val="32"/>
        </w:rPr>
        <w:t>5</w:t>
      </w:r>
      <w:r>
        <w:rPr>
          <w:rFonts w:ascii="仿宋" w:hAnsi="仿宋" w:eastAsia="仿宋" w:cs="仿宋"/>
          <w:b w:val="0"/>
          <w:bCs w:val="0"/>
          <w:kern w:val="2"/>
          <w:sz w:val="32"/>
          <w:szCs w:val="32"/>
        </w:rPr>
        <w:t>日</w:t>
      </w:r>
      <w:r>
        <w:rPr>
          <w:rFonts w:hint="eastAsia" w:ascii="仿宋" w:hAnsi="仿宋" w:eastAsia="仿宋" w:cs="仿宋"/>
          <w:b w:val="0"/>
          <w:bCs w:val="0"/>
          <w:kern w:val="2"/>
          <w:sz w:val="32"/>
          <w:szCs w:val="32"/>
        </w:rPr>
        <w:t>-12日</w:t>
      </w:r>
      <w:r>
        <w:rPr>
          <w:rFonts w:ascii="仿宋" w:hAnsi="仿宋" w:eastAsia="仿宋" w:cs="仿宋"/>
          <w:b w:val="0"/>
          <w:bCs w:val="0"/>
          <w:kern w:val="2"/>
          <w:sz w:val="32"/>
          <w:szCs w:val="32"/>
        </w:rPr>
        <w:t>，</w:t>
      </w:r>
      <w:r>
        <w:rPr>
          <w:rFonts w:hint="eastAsia" w:ascii="仿宋" w:hAnsi="仿宋" w:eastAsia="仿宋" w:cs="仿宋"/>
          <w:b w:val="0"/>
          <w:bCs w:val="0"/>
          <w:kern w:val="2"/>
          <w:sz w:val="32"/>
          <w:szCs w:val="32"/>
        </w:rPr>
        <w:t>乔子梁煤矿“1</w:t>
      </w:r>
      <w:r>
        <w:rPr>
          <w:rFonts w:ascii="仿宋" w:hAnsi="仿宋" w:eastAsia="仿宋" w:cs="仿宋"/>
          <w:b w:val="0"/>
          <w:bCs w:val="0"/>
          <w:kern w:val="2"/>
          <w:sz w:val="32"/>
          <w:szCs w:val="32"/>
        </w:rPr>
        <w:t>1.4</w:t>
      </w:r>
      <w:r>
        <w:rPr>
          <w:rFonts w:hint="eastAsia" w:ascii="仿宋" w:hAnsi="仿宋" w:eastAsia="仿宋" w:cs="仿宋"/>
          <w:b w:val="0"/>
          <w:bCs w:val="0"/>
          <w:kern w:val="2"/>
          <w:sz w:val="32"/>
          <w:szCs w:val="32"/>
        </w:rPr>
        <w:t>”事故调查技术组、专家组等有关人员，先后四次（40余人次）下井</w:t>
      </w:r>
      <w:r>
        <w:rPr>
          <w:rFonts w:ascii="仿宋" w:hAnsi="仿宋" w:eastAsia="仿宋" w:cs="仿宋"/>
          <w:b w:val="0"/>
          <w:bCs w:val="0"/>
          <w:kern w:val="2"/>
          <w:sz w:val="32"/>
          <w:szCs w:val="32"/>
        </w:rPr>
        <w:t>对事故</w:t>
      </w:r>
      <w:r>
        <w:rPr>
          <w:rFonts w:hint="eastAsia" w:ascii="仿宋" w:hAnsi="仿宋" w:eastAsia="仿宋" w:cs="仿宋"/>
          <w:b w:val="0"/>
          <w:bCs w:val="0"/>
          <w:kern w:val="2"/>
          <w:sz w:val="32"/>
          <w:szCs w:val="32"/>
        </w:rPr>
        <w:t>现场</w:t>
      </w:r>
      <w:r>
        <w:rPr>
          <w:rFonts w:ascii="仿宋" w:hAnsi="仿宋" w:eastAsia="仿宋" w:cs="仿宋"/>
          <w:b w:val="0"/>
          <w:bCs w:val="0"/>
          <w:kern w:val="2"/>
          <w:sz w:val="32"/>
          <w:szCs w:val="32"/>
        </w:rPr>
        <w:t>进行了勘查</w:t>
      </w:r>
      <w:r>
        <w:rPr>
          <w:rFonts w:hint="eastAsia" w:ascii="仿宋" w:hAnsi="仿宋" w:eastAsia="仿宋" w:cs="仿宋"/>
          <w:b w:val="0"/>
          <w:bCs w:val="0"/>
          <w:kern w:val="2"/>
          <w:sz w:val="32"/>
          <w:szCs w:val="32"/>
        </w:rPr>
        <w:t>。</w:t>
      </w:r>
      <w:bookmarkStart w:id="18" w:name="_Toc56367548"/>
    </w:p>
    <w:p>
      <w:pPr>
        <w:pStyle w:val="40"/>
        <w:spacing w:line="600" w:lineRule="atLeast"/>
        <w:ind w:firstLine="596"/>
        <w:rPr>
          <w:rFonts w:ascii="仿宋" w:hAnsi="仿宋" w:eastAsia="仿宋" w:cs="仿宋"/>
          <w:kern w:val="2"/>
          <w:sz w:val="32"/>
          <w:szCs w:val="32"/>
        </w:rPr>
      </w:pPr>
      <w:r>
        <w:rPr>
          <w:rFonts w:hint="eastAsia" w:ascii="仿宋" w:hAnsi="仿宋" w:eastAsia="仿宋" w:cs="仿宋"/>
          <w:kern w:val="2"/>
          <w:sz w:val="32"/>
          <w:szCs w:val="32"/>
        </w:rPr>
        <w:t>(一)</w:t>
      </w:r>
      <w:r>
        <w:rPr>
          <w:rFonts w:ascii="仿宋" w:hAnsi="仿宋" w:eastAsia="仿宋" w:cs="仿宋"/>
          <w:kern w:val="2"/>
          <w:sz w:val="32"/>
          <w:szCs w:val="32"/>
        </w:rPr>
        <w:t>事故现场勘查情况</w:t>
      </w:r>
      <w:bookmarkEnd w:id="18"/>
    </w:p>
    <w:p>
      <w:pPr>
        <w:pStyle w:val="40"/>
        <w:spacing w:line="600" w:lineRule="atLeast"/>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1、1</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联巷口以下0-26m长的59皮带下山巷顶部安设有13组防爆水棚，每组2个水袋，水袋完好。</w:t>
      </w:r>
    </w:p>
    <w:p>
      <w:pPr>
        <w:pStyle w:val="40"/>
        <w:spacing w:line="600" w:lineRule="atLeast"/>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2、3</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联巷口（水平投影）以上约10m的</w:t>
      </w:r>
      <w:bookmarkStart w:id="19" w:name="_Hlk56198332"/>
      <w:r>
        <w:rPr>
          <w:rFonts w:hint="eastAsia" w:ascii="仿宋" w:hAnsi="仿宋" w:eastAsia="仿宋" w:cs="仿宋"/>
          <w:b w:val="0"/>
          <w:bCs w:val="0"/>
          <w:kern w:val="2"/>
          <w:sz w:val="32"/>
          <w:szCs w:val="32"/>
        </w:rPr>
        <w:t>59皮带下山</w:t>
      </w:r>
      <w:bookmarkEnd w:id="19"/>
      <w:r>
        <w:rPr>
          <w:rFonts w:hint="eastAsia" w:ascii="仿宋" w:hAnsi="仿宋" w:eastAsia="仿宋" w:cs="仿宋"/>
          <w:b w:val="0"/>
          <w:bCs w:val="0"/>
          <w:kern w:val="2"/>
          <w:sz w:val="32"/>
          <w:szCs w:val="32"/>
        </w:rPr>
        <w:t>巷顶部，悬吊有2台</w:t>
      </w:r>
      <w:bookmarkStart w:id="20" w:name="_Hlk55810616"/>
      <w:r>
        <w:rPr>
          <w:rFonts w:hint="eastAsia" w:ascii="仿宋" w:hAnsi="仿宋" w:eastAsia="仿宋" w:cs="仿宋"/>
          <w:b w:val="0"/>
          <w:bCs w:val="0"/>
          <w:kern w:val="2"/>
          <w:sz w:val="32"/>
          <w:szCs w:val="32"/>
        </w:rPr>
        <w:t>型号为FBD-№6.3/2×30</w:t>
      </w:r>
      <w:r>
        <w:rPr>
          <w:rFonts w:ascii="仿宋" w:hAnsi="仿宋" w:eastAsia="仿宋" w:cs="仿宋"/>
          <w:b w:val="0"/>
          <w:bCs w:val="0"/>
          <w:kern w:val="2"/>
          <w:sz w:val="32"/>
          <w:szCs w:val="32"/>
        </w:rPr>
        <w:t>kW</w:t>
      </w:r>
      <w:r>
        <w:rPr>
          <w:rFonts w:hint="eastAsia" w:ascii="仿宋" w:hAnsi="仿宋" w:eastAsia="仿宋" w:cs="仿宋"/>
          <w:b w:val="0"/>
          <w:bCs w:val="0"/>
          <w:kern w:val="2"/>
          <w:sz w:val="32"/>
          <w:szCs w:val="32"/>
        </w:rPr>
        <w:t>的对旋局扇</w:t>
      </w:r>
      <w:bookmarkEnd w:id="20"/>
      <w:r>
        <w:rPr>
          <w:rFonts w:hint="eastAsia" w:ascii="仿宋" w:hAnsi="仿宋" w:eastAsia="仿宋" w:cs="仿宋"/>
          <w:b w:val="0"/>
          <w:bCs w:val="0"/>
          <w:kern w:val="2"/>
          <w:sz w:val="32"/>
          <w:szCs w:val="32"/>
        </w:rPr>
        <w:t>（图</w:t>
      </w:r>
      <w:r>
        <w:rPr>
          <w:rFonts w:ascii="仿宋" w:hAnsi="仿宋" w:eastAsia="仿宋" w:cs="仿宋"/>
          <w:b w:val="0"/>
          <w:bCs w:val="0"/>
          <w:kern w:val="2"/>
          <w:sz w:val="32"/>
          <w:szCs w:val="32"/>
        </w:rPr>
        <w:t>4</w:t>
      </w:r>
      <w:r>
        <w:rPr>
          <w:rFonts w:hint="eastAsia" w:ascii="仿宋" w:hAnsi="仿宋" w:eastAsia="仿宋" w:cs="仿宋"/>
          <w:b w:val="0"/>
          <w:bCs w:val="0"/>
          <w:kern w:val="2"/>
          <w:sz w:val="32"/>
          <w:szCs w:val="32"/>
        </w:rPr>
        <w:t>），用于向59轨道下山上段掘进面供风，一台工作，一台备用，风机完好。</w:t>
      </w:r>
    </w:p>
    <w:p>
      <w:pPr>
        <w:spacing w:line="360" w:lineRule="auto"/>
        <w:ind w:firstLine="594"/>
        <w:jc w:val="left"/>
        <w:rPr>
          <w:sz w:val="28"/>
          <w:szCs w:val="28"/>
        </w:rPr>
      </w:pPr>
      <w:r>
        <w:drawing>
          <wp:inline distT="0" distB="0" distL="0" distR="0">
            <wp:extent cx="1979295" cy="1323975"/>
            <wp:effectExtent l="19050" t="0" r="1792" b="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noChangeArrowheads="1"/>
                    </pic:cNvPicPr>
                  </pic:nvPicPr>
                  <pic:blipFill>
                    <a:blip r:embed="rId16" cstate="print"/>
                    <a:srcRect/>
                    <a:stretch>
                      <a:fillRect/>
                    </a:stretch>
                  </pic:blipFill>
                  <pic:spPr>
                    <a:xfrm>
                      <a:off x="0" y="0"/>
                      <a:ext cx="1979408" cy="1323975"/>
                    </a:xfrm>
                    <a:prstGeom prst="rect">
                      <a:avLst/>
                    </a:prstGeom>
                    <a:noFill/>
                    <a:ln w="9525">
                      <a:noFill/>
                      <a:miter lim="800000"/>
                      <a:headEnd/>
                      <a:tailEnd/>
                    </a:ln>
                  </pic:spPr>
                </pic:pic>
              </a:graphicData>
            </a:graphic>
          </wp:inline>
        </w:drawing>
      </w:r>
      <w:r>
        <w:drawing>
          <wp:inline distT="0" distB="0" distL="0" distR="0">
            <wp:extent cx="2038350" cy="1303655"/>
            <wp:effectExtent l="19050" t="0" r="0" b="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noChangeArrowheads="1"/>
                    </pic:cNvPicPr>
                  </pic:nvPicPr>
                  <pic:blipFill>
                    <a:blip r:embed="rId17" cstate="print"/>
                    <a:srcRect/>
                    <a:stretch>
                      <a:fillRect/>
                    </a:stretch>
                  </pic:blipFill>
                  <pic:spPr>
                    <a:xfrm>
                      <a:off x="0" y="0"/>
                      <a:ext cx="2038350" cy="1303682"/>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w:t>
      </w:r>
      <w:r>
        <w:rPr>
          <w:sz w:val="24"/>
        </w:rPr>
        <w:t xml:space="preserve">4  </w:t>
      </w:r>
      <w:r>
        <w:rPr>
          <w:rFonts w:hint="eastAsia"/>
          <w:sz w:val="24"/>
        </w:rPr>
        <w:t>59运输下山内向3</w:t>
      </w:r>
      <w:r>
        <w:rPr>
          <w:rFonts w:hint="eastAsia"/>
          <w:sz w:val="24"/>
          <w:vertAlign w:val="superscript"/>
        </w:rPr>
        <w:t>#</w:t>
      </w:r>
      <w:r>
        <w:rPr>
          <w:rFonts w:hint="eastAsia"/>
          <w:sz w:val="24"/>
        </w:rPr>
        <w:t>联巷上部掘进面供风的局扇</w:t>
      </w:r>
    </w:p>
    <w:p>
      <w:pPr>
        <w:pStyle w:val="40"/>
        <w:spacing w:line="600" w:lineRule="atLeast"/>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3、3</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联巷上段掘进面局扇以下15m处开始，59皮带下山巷道底板和运输皮带上可见新鲜沉积的煤尘，煤尘没有粒度感，厚度逐渐增加，见图5。</w:t>
      </w:r>
    </w:p>
    <w:p>
      <w:pPr>
        <w:pStyle w:val="40"/>
        <w:spacing w:line="600" w:lineRule="atLeast"/>
        <w:ind w:firstLine="594"/>
        <w:rPr>
          <w:rFonts w:ascii="仿宋" w:hAnsi="仿宋" w:eastAsia="仿宋" w:cs="仿宋"/>
          <w:b w:val="0"/>
          <w:bCs w:val="0"/>
          <w:kern w:val="2"/>
          <w:sz w:val="32"/>
          <w:szCs w:val="32"/>
        </w:rPr>
      </w:pPr>
      <w:r>
        <w:rPr>
          <w:rFonts w:ascii="仿宋" w:hAnsi="仿宋" w:eastAsia="仿宋" w:cs="仿宋"/>
          <w:b w:val="0"/>
          <w:bCs w:val="0"/>
          <w:kern w:val="2"/>
          <w:sz w:val="32"/>
          <w:szCs w:val="32"/>
        </w:rPr>
        <w:drawing>
          <wp:anchor distT="0" distB="0" distL="114300" distR="114300" simplePos="0" relativeHeight="251661312" behindDoc="0" locked="0" layoutInCell="1" allowOverlap="1">
            <wp:simplePos x="0" y="0"/>
            <wp:positionH relativeFrom="column">
              <wp:posOffset>2805430</wp:posOffset>
            </wp:positionH>
            <wp:positionV relativeFrom="paragraph">
              <wp:posOffset>362585</wp:posOffset>
            </wp:positionV>
            <wp:extent cx="2204720" cy="1466850"/>
            <wp:effectExtent l="0" t="0" r="0" b="0"/>
            <wp:wrapNone/>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noChangeArrowheads="1"/>
                    </pic:cNvPicPr>
                  </pic:nvPicPr>
                  <pic:blipFill>
                    <a:blip r:embed="rId18" cstate="print"/>
                    <a:srcRect/>
                    <a:stretch>
                      <a:fillRect/>
                    </a:stretch>
                  </pic:blipFill>
                  <pic:spPr>
                    <a:xfrm>
                      <a:off x="0" y="0"/>
                      <a:ext cx="2204720" cy="1466850"/>
                    </a:xfrm>
                    <a:prstGeom prst="rect">
                      <a:avLst/>
                    </a:prstGeom>
                    <a:noFill/>
                    <a:ln w="9525">
                      <a:noFill/>
                      <a:miter lim="800000"/>
                      <a:headEnd/>
                      <a:tailEnd/>
                    </a:ln>
                  </pic:spPr>
                </pic:pic>
              </a:graphicData>
            </a:graphic>
          </wp:anchor>
        </w:drawing>
      </w:r>
      <w:r>
        <w:rPr>
          <w:rFonts w:ascii="仿宋" w:hAnsi="仿宋" w:eastAsia="仿宋" w:cs="仿宋"/>
          <w:b w:val="0"/>
          <w:bCs w:val="0"/>
          <w:kern w:val="2"/>
          <w:sz w:val="32"/>
          <w:szCs w:val="32"/>
        </w:rPr>
        <w:drawing>
          <wp:anchor distT="0" distB="0" distL="114300" distR="114300" simplePos="0" relativeHeight="251660288" behindDoc="0" locked="0" layoutInCell="1" allowOverlap="1">
            <wp:simplePos x="0" y="0"/>
            <wp:positionH relativeFrom="column">
              <wp:posOffset>401955</wp:posOffset>
            </wp:positionH>
            <wp:positionV relativeFrom="paragraph">
              <wp:posOffset>324485</wp:posOffset>
            </wp:positionV>
            <wp:extent cx="2216150" cy="1533525"/>
            <wp:effectExtent l="19050" t="0" r="0" b="0"/>
            <wp:wrapNone/>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noChangeArrowheads="1"/>
                    </pic:cNvPicPr>
                  </pic:nvPicPr>
                  <pic:blipFill>
                    <a:blip r:embed="rId19" cstate="print"/>
                    <a:srcRect/>
                    <a:stretch>
                      <a:fillRect/>
                    </a:stretch>
                  </pic:blipFill>
                  <pic:spPr>
                    <a:xfrm>
                      <a:off x="0" y="0"/>
                      <a:ext cx="2216028" cy="1533525"/>
                    </a:xfrm>
                    <a:prstGeom prst="rect">
                      <a:avLst/>
                    </a:prstGeom>
                    <a:noFill/>
                    <a:ln w="9525">
                      <a:noFill/>
                      <a:miter lim="800000"/>
                      <a:headEnd/>
                      <a:tailEnd/>
                    </a:ln>
                  </pic:spPr>
                </pic:pic>
              </a:graphicData>
            </a:graphic>
          </wp:anchor>
        </w:drawing>
      </w:r>
    </w:p>
    <w:p>
      <w:pPr>
        <w:pStyle w:val="40"/>
        <w:spacing w:line="600" w:lineRule="atLeast"/>
        <w:ind w:firstLine="594"/>
        <w:rPr>
          <w:rFonts w:ascii="仿宋" w:hAnsi="仿宋" w:eastAsia="仿宋" w:cs="仿宋"/>
          <w:b w:val="0"/>
          <w:bCs w:val="0"/>
          <w:kern w:val="2"/>
          <w:sz w:val="32"/>
          <w:szCs w:val="32"/>
        </w:rPr>
      </w:pPr>
    </w:p>
    <w:p>
      <w:pPr>
        <w:pStyle w:val="40"/>
        <w:spacing w:line="600" w:lineRule="atLeast"/>
        <w:ind w:firstLine="594"/>
        <w:rPr>
          <w:rFonts w:ascii="仿宋" w:hAnsi="仿宋" w:eastAsia="仿宋" w:cs="仿宋"/>
          <w:b w:val="0"/>
          <w:bCs w:val="0"/>
          <w:kern w:val="2"/>
          <w:sz w:val="32"/>
          <w:szCs w:val="32"/>
        </w:rPr>
      </w:pPr>
    </w:p>
    <w:p>
      <w:pPr>
        <w:pStyle w:val="40"/>
        <w:spacing w:line="600" w:lineRule="atLeast"/>
        <w:ind w:firstLine="594"/>
        <w:rPr>
          <w:rFonts w:ascii="仿宋" w:hAnsi="仿宋" w:eastAsia="仿宋" w:cs="仿宋"/>
          <w:b w:val="0"/>
          <w:bCs w:val="0"/>
          <w:kern w:val="2"/>
          <w:sz w:val="32"/>
          <w:szCs w:val="32"/>
        </w:rPr>
      </w:pPr>
    </w:p>
    <w:p>
      <w:pPr>
        <w:pStyle w:val="40"/>
        <w:spacing w:line="600" w:lineRule="atLeast"/>
        <w:ind w:firstLine="0" w:firstLineChars="0"/>
        <w:rPr>
          <w:rFonts w:ascii="仿宋" w:hAnsi="仿宋" w:eastAsia="仿宋" w:cs="仿宋"/>
          <w:b w:val="0"/>
          <w:bCs w:val="0"/>
          <w:kern w:val="2"/>
          <w:sz w:val="32"/>
          <w:szCs w:val="32"/>
        </w:rPr>
      </w:pPr>
    </w:p>
    <w:p>
      <w:pPr>
        <w:pStyle w:val="40"/>
        <w:spacing w:line="600" w:lineRule="atLeast"/>
        <w:ind w:firstLine="1727" w:firstLineChars="796"/>
        <w:rPr>
          <w:sz w:val="24"/>
        </w:rPr>
      </w:pPr>
      <w:r>
        <w:rPr>
          <w:rFonts w:hint="eastAsia"/>
          <w:sz w:val="24"/>
        </w:rPr>
        <w:t>图5   59运输下山皮带上堆积的新鲜煤尘</w:t>
      </w:r>
    </w:p>
    <w:p>
      <w:pPr>
        <w:pStyle w:val="40"/>
        <w:spacing w:line="600" w:lineRule="atLeast"/>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4、5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联巷口以上10～30m的59皮带下山巷顶部安设有12组防爆水棚，每组2个水袋，水袋完好。</w:t>
      </w:r>
    </w:p>
    <w:p>
      <w:pPr>
        <w:pStyle w:val="40"/>
        <w:spacing w:line="600" w:lineRule="atLeast"/>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5、5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联巷口以上10m处59皮带下山东侧，有2台用于向59轨道下山下段掘进面供风、型号为F</w:t>
      </w:r>
      <w:r>
        <w:rPr>
          <w:rFonts w:ascii="仿宋" w:hAnsi="仿宋" w:eastAsia="仿宋" w:cs="仿宋"/>
          <w:b w:val="0"/>
          <w:bCs w:val="0"/>
          <w:kern w:val="2"/>
          <w:sz w:val="32"/>
          <w:szCs w:val="32"/>
        </w:rPr>
        <w:t>BDN06.3/2</w:t>
      </w:r>
      <w:r>
        <w:rPr>
          <w:rFonts w:hint="eastAsia" w:ascii="仿宋" w:hAnsi="仿宋" w:eastAsia="仿宋" w:cs="仿宋"/>
          <w:b w:val="0"/>
          <w:bCs w:val="0"/>
          <w:kern w:val="2"/>
          <w:sz w:val="32"/>
          <w:szCs w:val="32"/>
        </w:rPr>
        <w:t>×</w:t>
      </w:r>
      <w:r>
        <w:rPr>
          <w:rFonts w:ascii="仿宋" w:hAnsi="仿宋" w:eastAsia="仿宋" w:cs="仿宋"/>
          <w:b w:val="0"/>
          <w:bCs w:val="0"/>
          <w:kern w:val="2"/>
          <w:sz w:val="32"/>
          <w:szCs w:val="32"/>
        </w:rPr>
        <w:fldChar w:fldCharType="begin"/>
      </w:r>
      <w:r>
        <w:rPr>
          <w:rFonts w:ascii="仿宋" w:hAnsi="仿宋" w:eastAsia="仿宋" w:cs="仿宋"/>
          <w:b w:val="0"/>
          <w:bCs w:val="0"/>
          <w:kern w:val="2"/>
          <w:sz w:val="32"/>
          <w:szCs w:val="32"/>
        </w:rPr>
        <w:instrText xml:space="preserve"> QUOTE </w:instrText>
      </w:r>
      <m:oMath>
        <m:r>
          <m:rPr>
            <m:sty m:val="b"/>
          </m:rPr>
          <w:rPr>
            <w:rFonts w:ascii="Cambria Math" w:hAnsi="Cambria Math" w:eastAsia="仿宋" w:cs="仿宋"/>
            <w:kern w:val="2"/>
            <w:sz w:val="32"/>
            <w:szCs w:val="32"/>
          </w:rPr>
          <m:t xml:space="preserve">×</m:t>
        </m:r>
      </m:oMath>
      <w:r>
        <w:rPr>
          <w:rFonts w:ascii="仿宋" w:hAnsi="仿宋" w:eastAsia="仿宋" w:cs="仿宋"/>
          <w:b w:val="0"/>
          <w:bCs w:val="0"/>
          <w:kern w:val="2"/>
          <w:sz w:val="32"/>
          <w:szCs w:val="32"/>
        </w:rPr>
        <w:fldChar w:fldCharType="end"/>
      </w:r>
      <w:r>
        <w:rPr>
          <w:rFonts w:hint="eastAsia" w:ascii="仿宋" w:hAnsi="仿宋" w:eastAsia="仿宋" w:cs="仿宋"/>
          <w:b w:val="0"/>
          <w:bCs w:val="0"/>
          <w:kern w:val="2"/>
          <w:sz w:val="32"/>
          <w:szCs w:val="32"/>
        </w:rPr>
        <w:t>22k</w:t>
      </w:r>
      <w:r>
        <w:rPr>
          <w:rFonts w:ascii="仿宋" w:hAnsi="仿宋" w:eastAsia="仿宋" w:cs="仿宋"/>
          <w:b w:val="0"/>
          <w:bCs w:val="0"/>
          <w:kern w:val="2"/>
          <w:sz w:val="32"/>
          <w:szCs w:val="32"/>
        </w:rPr>
        <w:t>W</w:t>
      </w:r>
      <w:r>
        <w:rPr>
          <w:rFonts w:hint="eastAsia" w:ascii="仿宋" w:hAnsi="仿宋" w:eastAsia="仿宋" w:cs="仿宋"/>
          <w:b w:val="0"/>
          <w:bCs w:val="0"/>
          <w:kern w:val="2"/>
          <w:sz w:val="32"/>
          <w:szCs w:val="32"/>
        </w:rPr>
        <w:t>的对旋局扇，局扇上堆积有厚度约3</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～5</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mm的新鲜煤尘，局扇的胶质风筒被撕裂破坏，部分风筒被埋在煤中。现场清理后的局扇见图6，图中小风机为救援用</w:t>
      </w:r>
      <w:r>
        <w:rPr>
          <w:rFonts w:ascii="仿宋" w:hAnsi="仿宋" w:eastAsia="仿宋" w:cs="仿宋"/>
          <w:b w:val="0"/>
          <w:bCs w:val="0"/>
          <w:kern w:val="2"/>
          <w:sz w:val="32"/>
          <w:szCs w:val="32"/>
        </w:rPr>
        <w:t>11kW</w:t>
      </w:r>
      <w:r>
        <w:rPr>
          <w:rFonts w:hint="eastAsia" w:ascii="仿宋" w:hAnsi="仿宋" w:eastAsia="仿宋" w:cs="仿宋"/>
          <w:b w:val="0"/>
          <w:bCs w:val="0"/>
          <w:kern w:val="2"/>
          <w:sz w:val="32"/>
          <w:szCs w:val="32"/>
        </w:rPr>
        <w:t>风机。</w:t>
      </w:r>
    </w:p>
    <w:p>
      <w:pPr>
        <w:pStyle w:val="40"/>
        <w:spacing w:line="600" w:lineRule="atLeast"/>
        <w:ind w:firstLine="436"/>
        <w:rPr>
          <w:sz w:val="24"/>
        </w:rPr>
      </w:pPr>
    </w:p>
    <w:p>
      <w:pPr>
        <w:spacing w:line="360" w:lineRule="auto"/>
        <w:ind w:firstLine="594"/>
        <w:jc w:val="left"/>
      </w:pPr>
      <w:r>
        <w:drawing>
          <wp:inline distT="0" distB="0" distL="0" distR="0">
            <wp:extent cx="2289175" cy="1533525"/>
            <wp:effectExtent l="1905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20" cstate="print"/>
                    <a:srcRect/>
                    <a:stretch>
                      <a:fillRect/>
                    </a:stretch>
                  </pic:blipFill>
                  <pic:spPr>
                    <a:xfrm>
                      <a:off x="0" y="0"/>
                      <a:ext cx="2289175" cy="1533525"/>
                    </a:xfrm>
                    <a:prstGeom prst="rect">
                      <a:avLst/>
                    </a:prstGeom>
                    <a:noFill/>
                    <a:ln w="9525">
                      <a:noFill/>
                      <a:miter lim="800000"/>
                      <a:headEnd/>
                      <a:tailEnd/>
                    </a:ln>
                  </pic:spPr>
                </pic:pic>
              </a:graphicData>
            </a:graphic>
          </wp:inline>
        </w:drawing>
      </w:r>
      <w:r>
        <w:drawing>
          <wp:inline distT="0" distB="0" distL="0" distR="0">
            <wp:extent cx="2238375" cy="1564640"/>
            <wp:effectExtent l="19050" t="0" r="9525"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21" cstate="print"/>
                    <a:srcRect b="1295"/>
                    <a:stretch>
                      <a:fillRect/>
                    </a:stretch>
                  </pic:blipFill>
                  <pic:spPr>
                    <a:xfrm>
                      <a:off x="0" y="0"/>
                      <a:ext cx="2238375" cy="1565114"/>
                    </a:xfrm>
                    <a:prstGeom prst="rect">
                      <a:avLst/>
                    </a:prstGeom>
                    <a:noFill/>
                    <a:ln w="9525">
                      <a:noFill/>
                      <a:miter lim="800000"/>
                      <a:headEnd/>
                      <a:tailEnd/>
                    </a:ln>
                  </pic:spPr>
                </pic:pic>
              </a:graphicData>
            </a:graphic>
          </wp:inline>
        </w:drawing>
      </w:r>
    </w:p>
    <w:p>
      <w:pPr>
        <w:pStyle w:val="40"/>
        <w:ind w:firstLine="0" w:firstLineChars="0"/>
        <w:jc w:val="center"/>
        <w:rPr>
          <w:sz w:val="24"/>
        </w:rPr>
      </w:pPr>
    </w:p>
    <w:p>
      <w:pPr>
        <w:pStyle w:val="40"/>
        <w:ind w:firstLine="0" w:firstLineChars="0"/>
        <w:jc w:val="center"/>
        <w:rPr>
          <w:sz w:val="24"/>
        </w:rPr>
      </w:pPr>
      <w:r>
        <w:rPr>
          <w:rFonts w:hint="eastAsia"/>
          <w:sz w:val="24"/>
        </w:rPr>
        <w:t>图6  清理后的59运输下山内向59轨道下山下部掘进面供风局扇</w:t>
      </w:r>
    </w:p>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6、5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口以上2m、以下30m范围内59皮带下山内有煤堆积（图7），最大堆积厚度1.3m，堆积煤的表面为厚度0.10～0.15m、无粒度感的煤粉，煤粉之下为碎煤和捏之成粉的块状煤；往下煤的堆积厚度逐渐变薄，堆积角度20°左右，小于煤的自然安息角；巷道支护完好。</w:t>
      </w:r>
    </w:p>
    <w:p>
      <w:pPr>
        <w:spacing w:line="360" w:lineRule="auto"/>
        <w:ind w:firstLine="594"/>
        <w:jc w:val="center"/>
        <w:rPr>
          <w:sz w:val="28"/>
          <w:szCs w:val="28"/>
        </w:rPr>
      </w:pPr>
      <w:r>
        <w:drawing>
          <wp:inline distT="0" distB="0" distL="0" distR="0">
            <wp:extent cx="2400300" cy="1752600"/>
            <wp:effectExtent l="1905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22" cstate="print"/>
                    <a:srcRect/>
                    <a:stretch>
                      <a:fillRect/>
                    </a:stretch>
                  </pic:blipFill>
                  <pic:spPr>
                    <a:xfrm>
                      <a:off x="0" y="0"/>
                      <a:ext cx="2400300" cy="1752600"/>
                    </a:xfrm>
                    <a:prstGeom prst="rect">
                      <a:avLst/>
                    </a:prstGeom>
                    <a:noFill/>
                    <a:ln w="9525">
                      <a:noFill/>
                      <a:miter lim="800000"/>
                      <a:headEnd/>
                      <a:tailEnd/>
                    </a:ln>
                  </pic:spPr>
                </pic:pic>
              </a:graphicData>
            </a:graphic>
          </wp:inline>
        </w:drawing>
      </w:r>
      <w:r>
        <w:rPr>
          <w:sz w:val="28"/>
          <w:szCs w:val="28"/>
        </w:rPr>
        <w:drawing>
          <wp:inline distT="0" distB="0" distL="0" distR="0">
            <wp:extent cx="3067050" cy="1600200"/>
            <wp:effectExtent l="19050" t="0" r="0"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noChangeArrowheads="1"/>
                    </pic:cNvPicPr>
                  </pic:nvPicPr>
                  <pic:blipFill>
                    <a:blip r:embed="rId23" cstate="print"/>
                    <a:srcRect/>
                    <a:stretch>
                      <a:fillRect/>
                    </a:stretch>
                  </pic:blipFill>
                  <pic:spPr>
                    <a:xfrm>
                      <a:off x="0" y="0"/>
                      <a:ext cx="3067050" cy="1600200"/>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图7  59运输下山煤堆积示意图</w:t>
      </w:r>
    </w:p>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7、5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联巷（宽4.5m、高3.5m）内可见大量的煤堆积（图8）</w:t>
      </w:r>
      <w:r>
        <w:rPr>
          <w:rFonts w:ascii="仿宋" w:hAnsi="仿宋" w:eastAsia="仿宋" w:cs="仿宋"/>
          <w:b w:val="0"/>
          <w:bCs w:val="0"/>
          <w:kern w:val="2"/>
          <w:sz w:val="32"/>
          <w:szCs w:val="32"/>
        </w:rPr>
        <w:t>，</w:t>
      </w:r>
      <w:r>
        <w:rPr>
          <w:rFonts w:hint="eastAsia" w:ascii="仿宋" w:hAnsi="仿宋" w:eastAsia="仿宋" w:cs="仿宋"/>
          <w:b w:val="0"/>
          <w:bCs w:val="0"/>
          <w:kern w:val="2"/>
          <w:sz w:val="32"/>
          <w:szCs w:val="32"/>
        </w:rPr>
        <w:t>堆积情况为：西段（进风侧），实测距顶板最大1.2m，最小0.9m，人勉强能爬行通过；东段（回风侧），目测距顶板最大1.0m，最小0.6m，人无法爬行通过。堆积煤的表面为厚度0.20～0.25m、无粒度感的煤粉，煤粉下方为碎煤和捏之成粉的块状煤；</w:t>
      </w:r>
      <w:bookmarkStart w:id="21" w:name="_Hlk56200367"/>
      <w:r>
        <w:rPr>
          <w:rFonts w:hint="eastAsia" w:ascii="仿宋" w:hAnsi="仿宋" w:eastAsia="仿宋" w:cs="仿宋"/>
          <w:b w:val="0"/>
          <w:bCs w:val="0"/>
          <w:kern w:val="2"/>
          <w:sz w:val="32"/>
          <w:szCs w:val="32"/>
        </w:rPr>
        <w:t>巷道顶板完整，顶板支护完好（图9）。</w:t>
      </w:r>
      <w:bookmarkEnd w:id="21"/>
    </w:p>
    <w:p>
      <w:pPr>
        <w:spacing w:line="360" w:lineRule="auto"/>
        <w:ind w:right="-481" w:rightChars="-162" w:firstLine="594"/>
        <w:jc w:val="center"/>
        <w:rPr>
          <w:sz w:val="28"/>
          <w:szCs w:val="28"/>
        </w:rPr>
      </w:pPr>
      <w:r>
        <w:drawing>
          <wp:inline distT="0" distB="0" distL="0" distR="0">
            <wp:extent cx="2800350" cy="1869440"/>
            <wp:effectExtent l="0" t="0" r="0" b="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noChangeArrowheads="1"/>
                    </pic:cNvPicPr>
                  </pic:nvPicPr>
                  <pic:blipFill>
                    <a:blip r:embed="rId24" cstate="print"/>
                    <a:srcRect/>
                    <a:stretch>
                      <a:fillRect/>
                    </a:stretch>
                  </pic:blipFill>
                  <pic:spPr>
                    <a:xfrm>
                      <a:off x="0" y="0"/>
                      <a:ext cx="2800350" cy="1869882"/>
                    </a:xfrm>
                    <a:prstGeom prst="rect">
                      <a:avLst/>
                    </a:prstGeom>
                    <a:noFill/>
                    <a:ln w="9525">
                      <a:noFill/>
                      <a:miter lim="800000"/>
                      <a:headEnd/>
                      <a:tailEnd/>
                    </a:ln>
                  </pic:spPr>
                </pic:pic>
              </a:graphicData>
            </a:graphic>
          </wp:inline>
        </w:drawing>
      </w:r>
      <w:r>
        <w:rPr>
          <w:sz w:val="28"/>
          <w:szCs w:val="28"/>
        </w:rPr>
        <w:drawing>
          <wp:inline distT="0" distB="0" distL="0" distR="0">
            <wp:extent cx="2771775" cy="2190750"/>
            <wp:effectExtent l="19050" t="0" r="9525"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noChangeArrowheads="1"/>
                    </pic:cNvPicPr>
                  </pic:nvPicPr>
                  <pic:blipFill>
                    <a:blip r:embed="rId25" cstate="print"/>
                    <a:srcRect/>
                    <a:stretch>
                      <a:fillRect/>
                    </a:stretch>
                  </pic:blipFill>
                  <pic:spPr>
                    <a:xfrm>
                      <a:off x="0" y="0"/>
                      <a:ext cx="2771775" cy="2190750"/>
                    </a:xfrm>
                    <a:prstGeom prst="rect">
                      <a:avLst/>
                    </a:prstGeom>
                    <a:noFill/>
                    <a:ln w="9525">
                      <a:noFill/>
                      <a:miter lim="800000"/>
                      <a:headEnd/>
                      <a:tailEnd/>
                    </a:ln>
                  </pic:spPr>
                </pic:pic>
              </a:graphicData>
            </a:graphic>
          </wp:inline>
        </w:drawing>
      </w:r>
    </w:p>
    <w:p>
      <w:pPr>
        <w:spacing w:line="360" w:lineRule="auto"/>
        <w:ind w:right="-481" w:rightChars="-162" w:firstLine="514"/>
        <w:jc w:val="center"/>
        <w:rPr>
          <w:sz w:val="28"/>
          <w:szCs w:val="28"/>
        </w:rPr>
      </w:pPr>
      <w:r>
        <w:rPr>
          <w:sz w:val="28"/>
          <w:szCs w:val="28"/>
        </w:rPr>
        <w:drawing>
          <wp:inline distT="0" distB="0" distL="0" distR="0">
            <wp:extent cx="5591175" cy="1162050"/>
            <wp:effectExtent l="19050" t="0" r="9525"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noChangeArrowheads="1"/>
                    </pic:cNvPicPr>
                  </pic:nvPicPr>
                  <pic:blipFill>
                    <a:blip r:embed="rId26" cstate="print"/>
                    <a:srcRect/>
                    <a:stretch>
                      <a:fillRect/>
                    </a:stretch>
                  </pic:blipFill>
                  <pic:spPr>
                    <a:xfrm>
                      <a:off x="0" y="0"/>
                      <a:ext cx="5591175" cy="1162050"/>
                    </a:xfrm>
                    <a:prstGeom prst="rect">
                      <a:avLst/>
                    </a:prstGeom>
                    <a:noFill/>
                    <a:ln w="9525">
                      <a:noFill/>
                      <a:miter lim="800000"/>
                      <a:headEnd/>
                      <a:tailEnd/>
                    </a:ln>
                  </pic:spPr>
                </pic:pic>
              </a:graphicData>
            </a:graphic>
          </wp:inline>
        </w:drawing>
      </w:r>
    </w:p>
    <w:p>
      <w:pPr>
        <w:pStyle w:val="40"/>
        <w:ind w:firstLine="0" w:firstLineChars="0"/>
        <w:jc w:val="center"/>
        <w:rPr>
          <w:sz w:val="24"/>
        </w:rPr>
      </w:pPr>
      <w:bookmarkStart w:id="22" w:name="_Hlk56002649"/>
      <w:r>
        <w:rPr>
          <w:rFonts w:hint="eastAsia"/>
          <w:sz w:val="24"/>
        </w:rPr>
        <w:t xml:space="preserve">图8  </w:t>
      </w:r>
      <w:r>
        <w:rPr>
          <w:sz w:val="24"/>
        </w:rPr>
        <w:t xml:space="preserve"> 5</w:t>
      </w:r>
      <w:r>
        <w:rPr>
          <w:rFonts w:hint="eastAsia"/>
          <w:sz w:val="24"/>
          <w:vertAlign w:val="superscript"/>
        </w:rPr>
        <w:t>#</w:t>
      </w:r>
      <w:r>
        <w:rPr>
          <w:rFonts w:hint="eastAsia"/>
          <w:sz w:val="24"/>
        </w:rPr>
        <w:t>联巷内煤堆积示意图</w:t>
      </w:r>
    </w:p>
    <w:bookmarkEnd w:id="22"/>
    <w:p>
      <w:pPr>
        <w:spacing w:line="360" w:lineRule="auto"/>
        <w:ind w:firstLine="594"/>
        <w:jc w:val="left"/>
      </w:pPr>
      <w:r>
        <w:drawing>
          <wp:inline distT="0" distB="0" distL="0" distR="0">
            <wp:extent cx="2276475" cy="1428750"/>
            <wp:effectExtent l="19050" t="0" r="9525" b="0"/>
            <wp:docPr id="38" name="图片 18"/>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rrowheads="1"/>
                    </pic:cNvPicPr>
                  </pic:nvPicPr>
                  <pic:blipFill>
                    <a:blip r:embed="rId27" cstate="print"/>
                    <a:srcRect/>
                    <a:stretch>
                      <a:fillRect/>
                    </a:stretch>
                  </pic:blipFill>
                  <pic:spPr>
                    <a:xfrm>
                      <a:off x="0" y="0"/>
                      <a:ext cx="2276475" cy="1428750"/>
                    </a:xfrm>
                    <a:prstGeom prst="rect">
                      <a:avLst/>
                    </a:prstGeom>
                    <a:noFill/>
                    <a:ln w="9525">
                      <a:noFill/>
                      <a:miter lim="800000"/>
                      <a:headEnd/>
                      <a:tailEnd/>
                    </a:ln>
                  </pic:spPr>
                </pic:pic>
              </a:graphicData>
            </a:graphic>
          </wp:inline>
        </w:drawing>
      </w:r>
      <w:r>
        <w:drawing>
          <wp:inline distT="0" distB="0" distL="0" distR="0">
            <wp:extent cx="2047875" cy="1409700"/>
            <wp:effectExtent l="19050" t="0" r="9525" b="0"/>
            <wp:docPr id="37" name="图片 20"/>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rrowheads="1"/>
                    </pic:cNvPicPr>
                  </pic:nvPicPr>
                  <pic:blipFill>
                    <a:blip r:embed="rId28" cstate="print"/>
                    <a:srcRect/>
                    <a:stretch>
                      <a:fillRect/>
                    </a:stretch>
                  </pic:blipFill>
                  <pic:spPr>
                    <a:xfrm>
                      <a:off x="0" y="0"/>
                      <a:ext cx="2047875" cy="1409700"/>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图9  清理后的</w:t>
      </w:r>
      <w:r>
        <w:rPr>
          <w:sz w:val="24"/>
        </w:rPr>
        <w:t>5</w:t>
      </w:r>
      <w:r>
        <w:rPr>
          <w:sz w:val="24"/>
          <w:vertAlign w:val="superscript"/>
        </w:rPr>
        <w:t>#</w:t>
      </w:r>
      <w:r>
        <w:rPr>
          <w:sz w:val="24"/>
        </w:rPr>
        <w:t>联巷</w:t>
      </w:r>
    </w:p>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8、由59皮带下山与5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联巷的交叉口爬行进入5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联巷，可至5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联巷59轨道下山下段掘进面巷口（图10），巷口附近煤堆积厚度小于5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表面为厚度0.20～0.30m、无粒度感的煤粉，煤粉下面为碎煤和捏之成粉的块状煤；巷口顶板完整，顶板及两侧巷帮铁丝网、锚杆、锚索支护基本完好；巷口东侧可见悬挂的瓦斯传感器，传感器与插头及导线断开。</w:t>
      </w:r>
    </w:p>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drawing>
          <wp:anchor distT="0" distB="0" distL="114300" distR="114300" simplePos="0" relativeHeight="251664384" behindDoc="0" locked="0" layoutInCell="1" allowOverlap="1">
            <wp:simplePos x="0" y="0"/>
            <wp:positionH relativeFrom="column">
              <wp:posOffset>2678430</wp:posOffset>
            </wp:positionH>
            <wp:positionV relativeFrom="paragraph">
              <wp:posOffset>459740</wp:posOffset>
            </wp:positionV>
            <wp:extent cx="2438400" cy="1543050"/>
            <wp:effectExtent l="0" t="0" r="0" b="0"/>
            <wp:wrapSquare wrapText="bothSides"/>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noChangeArrowheads="1"/>
                    </pic:cNvPicPr>
                  </pic:nvPicPr>
                  <pic:blipFill>
                    <a:blip r:embed="rId29" cstate="print"/>
                    <a:srcRect/>
                    <a:stretch>
                      <a:fillRect/>
                    </a:stretch>
                  </pic:blipFill>
                  <pic:spPr>
                    <a:xfrm>
                      <a:off x="0" y="0"/>
                      <a:ext cx="2438400" cy="1543050"/>
                    </a:xfrm>
                    <a:prstGeom prst="rect">
                      <a:avLst/>
                    </a:prstGeom>
                    <a:noFill/>
                    <a:ln w="9525">
                      <a:noFill/>
                      <a:miter lim="800000"/>
                      <a:headEnd/>
                      <a:tailEnd/>
                    </a:ln>
                  </pic:spPr>
                </pic:pic>
              </a:graphicData>
            </a:graphic>
          </wp:anchor>
        </w:drawing>
      </w:r>
    </w:p>
    <w:p>
      <w:pPr>
        <w:ind w:firstLine="594"/>
        <w:jc w:val="left"/>
        <w:rPr>
          <w:b/>
          <w:bCs/>
          <w:sz w:val="24"/>
        </w:rPr>
      </w:pPr>
      <w:r>
        <w:rPr>
          <w:rFonts w:hint="eastAsia" w:ascii="仿宋" w:hAnsi="仿宋" w:eastAsia="仿宋" w:cs="仿宋"/>
          <w:szCs w:val="32"/>
        </w:rPr>
        <w:drawing>
          <wp:anchor distT="0" distB="0" distL="114300" distR="114300" simplePos="0" relativeHeight="251663360" behindDoc="0" locked="0" layoutInCell="1" allowOverlap="1">
            <wp:simplePos x="0" y="0"/>
            <wp:positionH relativeFrom="column">
              <wp:posOffset>259080</wp:posOffset>
            </wp:positionH>
            <wp:positionV relativeFrom="paragraph">
              <wp:posOffset>55245</wp:posOffset>
            </wp:positionV>
            <wp:extent cx="2362200" cy="1619250"/>
            <wp:effectExtent l="19050" t="0" r="0" b="0"/>
            <wp:wrapSquare wrapText="bothSides"/>
            <wp:docPr id="35" name="图片 22"/>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rrowheads="1"/>
                    </pic:cNvPicPr>
                  </pic:nvPicPr>
                  <pic:blipFill>
                    <a:blip r:embed="rId30" cstate="print"/>
                    <a:srcRect/>
                    <a:stretch>
                      <a:fillRect/>
                    </a:stretch>
                  </pic:blipFill>
                  <pic:spPr>
                    <a:xfrm>
                      <a:off x="0" y="0"/>
                      <a:ext cx="2362200" cy="1619250"/>
                    </a:xfrm>
                    <a:prstGeom prst="rect">
                      <a:avLst/>
                    </a:prstGeom>
                    <a:noFill/>
                    <a:ln w="9525">
                      <a:noFill/>
                      <a:miter lim="800000"/>
                      <a:headEnd/>
                      <a:tailEnd/>
                    </a:ln>
                  </pic:spPr>
                </pic:pic>
              </a:graphicData>
            </a:graphic>
          </wp:anchor>
        </w:drawing>
      </w:r>
    </w:p>
    <w:p>
      <w:pPr>
        <w:pStyle w:val="40"/>
        <w:ind w:firstLine="0" w:firstLineChars="0"/>
        <w:jc w:val="center"/>
        <w:rPr>
          <w:sz w:val="24"/>
        </w:rPr>
      </w:pPr>
      <w:r>
        <w:rPr>
          <w:rFonts w:hint="eastAsia"/>
          <w:sz w:val="24"/>
        </w:rPr>
        <w:t>图10清理后的5</w:t>
      </w:r>
      <w:r>
        <w:rPr>
          <w:rFonts w:hint="eastAsia"/>
          <w:sz w:val="24"/>
          <w:vertAlign w:val="superscript"/>
        </w:rPr>
        <w:t>#</w:t>
      </w:r>
      <w:r>
        <w:rPr>
          <w:rFonts w:hint="eastAsia"/>
          <w:sz w:val="24"/>
        </w:rPr>
        <w:t>联巷59轨道下山下部掘进面巷口</w:t>
      </w:r>
    </w:p>
    <w:p>
      <w:pPr>
        <w:pStyle w:val="40"/>
        <w:ind w:firstLine="594"/>
        <w:rPr>
          <w:rFonts w:ascii="仿宋" w:hAnsi="仿宋" w:eastAsia="仿宋" w:cs="仿宋"/>
          <w:b w:val="0"/>
          <w:bCs w:val="0"/>
          <w:kern w:val="2"/>
          <w:sz w:val="32"/>
          <w:szCs w:val="32"/>
        </w:rPr>
      </w:pPr>
      <w:bookmarkStart w:id="23" w:name="_Hlk56204369"/>
      <w:r>
        <w:rPr>
          <w:rFonts w:hint="eastAsia" w:ascii="仿宋" w:hAnsi="仿宋" w:eastAsia="仿宋" w:cs="仿宋"/>
          <w:b w:val="0"/>
          <w:bCs w:val="0"/>
          <w:kern w:val="2"/>
          <w:sz w:val="32"/>
          <w:szCs w:val="32"/>
        </w:rPr>
        <w:t>9、59轨道下山下段掘进面</w:t>
      </w:r>
      <w:bookmarkEnd w:id="23"/>
      <w:r>
        <w:rPr>
          <w:rFonts w:hint="eastAsia" w:ascii="仿宋" w:hAnsi="仿宋" w:eastAsia="仿宋" w:cs="仿宋"/>
          <w:b w:val="0"/>
          <w:bCs w:val="0"/>
          <w:kern w:val="2"/>
          <w:sz w:val="32"/>
          <w:szCs w:val="32"/>
        </w:rPr>
        <w:t>已掘长度22m，自巷口以里约9m处的综掘机机身局部可见，转载机被煤覆盖（图11），</w:t>
      </w:r>
      <w:bookmarkStart w:id="24" w:name="_Hlk56000768"/>
      <w:r>
        <w:rPr>
          <w:rFonts w:hint="eastAsia" w:ascii="仿宋" w:hAnsi="仿宋" w:eastAsia="仿宋" w:cs="仿宋"/>
          <w:b w:val="0"/>
          <w:bCs w:val="0"/>
          <w:kern w:val="2"/>
          <w:sz w:val="32"/>
          <w:szCs w:val="32"/>
        </w:rPr>
        <w:t>综掘机机身距左侧煤壁1.5m，巷内堆积煤炭较多，煤厚2.5m，越往里厚度越大；综掘机机身距右侧煤壁1.2m，巷内堆积煤较少，煤厚0.8m，越往里厚度越大</w:t>
      </w:r>
      <w:bookmarkEnd w:id="24"/>
      <w:r>
        <w:rPr>
          <w:rFonts w:hint="eastAsia" w:ascii="仿宋" w:hAnsi="仿宋" w:eastAsia="仿宋" w:cs="仿宋"/>
          <w:b w:val="0"/>
          <w:bCs w:val="0"/>
          <w:kern w:val="2"/>
          <w:sz w:val="32"/>
          <w:szCs w:val="32"/>
        </w:rPr>
        <w:t>。巷内煤炭堆积情况如图12所示，清理出来的锚杆钻机如图13所示。</w:t>
      </w:r>
    </w:p>
    <w:p>
      <w:pPr>
        <w:spacing w:line="360" w:lineRule="auto"/>
        <w:ind w:firstLine="594"/>
        <w:jc w:val="left"/>
        <w:rPr>
          <w:sz w:val="28"/>
          <w:szCs w:val="28"/>
        </w:rPr>
      </w:pPr>
      <w:r>
        <w:drawing>
          <wp:inline distT="0" distB="0" distL="0" distR="0">
            <wp:extent cx="2238375" cy="1371600"/>
            <wp:effectExtent l="19050" t="0" r="952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noChangeArrowheads="1"/>
                    </pic:cNvPicPr>
                  </pic:nvPicPr>
                  <pic:blipFill>
                    <a:blip r:embed="rId31" cstate="print"/>
                    <a:srcRect/>
                    <a:stretch>
                      <a:fillRect/>
                    </a:stretch>
                  </pic:blipFill>
                  <pic:spPr>
                    <a:xfrm>
                      <a:off x="0" y="0"/>
                      <a:ext cx="2242021" cy="1373834"/>
                    </a:xfrm>
                    <a:prstGeom prst="rect">
                      <a:avLst/>
                    </a:prstGeom>
                    <a:noFill/>
                    <a:ln w="9525">
                      <a:noFill/>
                      <a:miter lim="800000"/>
                      <a:headEnd/>
                      <a:tailEnd/>
                    </a:ln>
                  </pic:spPr>
                </pic:pic>
              </a:graphicData>
            </a:graphic>
          </wp:inline>
        </w:drawing>
      </w:r>
      <w:r>
        <w:drawing>
          <wp:inline distT="0" distB="0" distL="0" distR="0">
            <wp:extent cx="2276475" cy="1360805"/>
            <wp:effectExtent l="19050" t="0" r="9525" b="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noChangeArrowheads="1"/>
                    </pic:cNvPicPr>
                  </pic:nvPicPr>
                  <pic:blipFill>
                    <a:blip r:embed="rId32" cstate="print"/>
                    <a:srcRect/>
                    <a:stretch>
                      <a:fillRect/>
                    </a:stretch>
                  </pic:blipFill>
                  <pic:spPr>
                    <a:xfrm>
                      <a:off x="0" y="0"/>
                      <a:ext cx="2276475" cy="1361113"/>
                    </a:xfrm>
                    <a:prstGeom prst="rect">
                      <a:avLst/>
                    </a:prstGeom>
                    <a:noFill/>
                    <a:ln w="9525">
                      <a:noFill/>
                      <a:miter lim="800000"/>
                      <a:headEnd/>
                      <a:tailEnd/>
                    </a:ln>
                  </pic:spPr>
                </pic:pic>
              </a:graphicData>
            </a:graphic>
          </wp:inline>
        </w:drawing>
      </w:r>
    </w:p>
    <w:p>
      <w:pPr>
        <w:pStyle w:val="40"/>
        <w:ind w:firstLine="0" w:firstLineChars="0"/>
        <w:jc w:val="center"/>
        <w:rPr>
          <w:sz w:val="24"/>
        </w:rPr>
      </w:pPr>
      <w:bookmarkStart w:id="25" w:name="_Hlk56205374"/>
      <w:r>
        <w:rPr>
          <w:rFonts w:hint="eastAsia"/>
          <w:sz w:val="24"/>
        </w:rPr>
        <w:t>图11 清理后的59轨道下山下部掘进面内的综掘机及转载机</w:t>
      </w:r>
    </w:p>
    <w:bookmarkEnd w:id="25"/>
    <w:p>
      <w:pPr>
        <w:spacing w:line="360" w:lineRule="auto"/>
        <w:ind w:firstLine="514"/>
        <w:jc w:val="center"/>
        <w:rPr>
          <w:sz w:val="28"/>
          <w:szCs w:val="28"/>
        </w:rPr>
      </w:pPr>
    </w:p>
    <w:p>
      <w:pPr>
        <w:spacing w:line="360" w:lineRule="auto"/>
        <w:ind w:firstLine="514"/>
        <w:jc w:val="center"/>
        <w:rPr>
          <w:sz w:val="28"/>
          <w:szCs w:val="28"/>
        </w:rPr>
      </w:pPr>
    </w:p>
    <w:p>
      <w:pPr>
        <w:pStyle w:val="40"/>
        <w:ind w:firstLine="0" w:firstLineChars="0"/>
        <w:jc w:val="center"/>
      </w:pPr>
      <w:bookmarkStart w:id="26" w:name="_Hlk56205903"/>
      <w:r>
        <w:drawing>
          <wp:inline distT="0" distB="0" distL="0" distR="0">
            <wp:extent cx="3790950" cy="1628775"/>
            <wp:effectExtent l="0" t="0" r="0" b="9525"/>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33" cstate="print"/>
                    <a:srcRect/>
                    <a:stretch>
                      <a:fillRect/>
                    </a:stretch>
                  </pic:blipFill>
                  <pic:spPr>
                    <a:xfrm>
                      <a:off x="0" y="0"/>
                      <a:ext cx="3790950" cy="1628775"/>
                    </a:xfrm>
                    <a:prstGeom prst="rect">
                      <a:avLst/>
                    </a:prstGeom>
                    <a:noFill/>
                    <a:ln w="9525">
                      <a:noFill/>
                      <a:miter lim="800000"/>
                      <a:headEnd/>
                      <a:tailEnd/>
                    </a:ln>
                  </pic:spPr>
                </pic:pic>
              </a:graphicData>
            </a:graphic>
          </wp:inline>
        </w:drawing>
      </w:r>
    </w:p>
    <w:p>
      <w:pPr>
        <w:pStyle w:val="40"/>
        <w:ind w:firstLine="0" w:firstLineChars="0"/>
        <w:jc w:val="center"/>
      </w:pPr>
      <w:r>
        <w:rPr>
          <w:rFonts w:hint="eastAsia"/>
          <w:sz w:val="24"/>
        </w:rPr>
        <w:t xml:space="preserve">图12  </w:t>
      </w:r>
      <w:r>
        <w:rPr>
          <w:sz w:val="24"/>
        </w:rPr>
        <w:t>5</w:t>
      </w:r>
      <w:r>
        <w:rPr>
          <w:rFonts w:hint="eastAsia"/>
          <w:sz w:val="24"/>
        </w:rPr>
        <w:t>9轨道下山下部掘进面煤堆积示意</w:t>
      </w:r>
    </w:p>
    <w:bookmarkEnd w:id="26"/>
    <w:p>
      <w:pPr>
        <w:pStyle w:val="40"/>
        <w:ind w:firstLine="0" w:firstLineChars="0"/>
        <w:jc w:val="left"/>
        <w:rPr>
          <w:sz w:val="24"/>
        </w:rPr>
      </w:pPr>
    </w:p>
    <w:p>
      <w:pPr>
        <w:pStyle w:val="40"/>
        <w:ind w:firstLine="2015" w:firstLineChars="784"/>
        <w:jc w:val="left"/>
        <w:rPr>
          <w:sz w:val="24"/>
        </w:rPr>
      </w:pPr>
      <w:r>
        <w:rPr>
          <w:rFonts w:hint="eastAsia"/>
          <w:b w:val="0"/>
          <w:bCs w:val="0"/>
        </w:rPr>
        <w:drawing>
          <wp:anchor distT="0" distB="0" distL="114300" distR="114300" simplePos="0" relativeHeight="251666432" behindDoc="0" locked="0" layoutInCell="1" allowOverlap="1">
            <wp:simplePos x="0" y="0"/>
            <wp:positionH relativeFrom="column">
              <wp:posOffset>2700020</wp:posOffset>
            </wp:positionH>
            <wp:positionV relativeFrom="paragraph">
              <wp:posOffset>212090</wp:posOffset>
            </wp:positionV>
            <wp:extent cx="2313940" cy="1552575"/>
            <wp:effectExtent l="0" t="0" r="10160" b="9525"/>
            <wp:wrapSquare wrapText="bothSides"/>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noChangeArrowheads="1"/>
                    </pic:cNvPicPr>
                  </pic:nvPicPr>
                  <pic:blipFill>
                    <a:blip r:embed="rId34" cstate="print"/>
                    <a:srcRect/>
                    <a:stretch>
                      <a:fillRect/>
                    </a:stretch>
                  </pic:blipFill>
                  <pic:spPr>
                    <a:xfrm>
                      <a:off x="0" y="0"/>
                      <a:ext cx="2313940" cy="1552575"/>
                    </a:xfrm>
                    <a:prstGeom prst="rect">
                      <a:avLst/>
                    </a:prstGeom>
                    <a:noFill/>
                    <a:ln w="9525">
                      <a:noFill/>
                      <a:miter lim="800000"/>
                      <a:headEnd/>
                      <a:tailEnd/>
                    </a:ln>
                  </pic:spPr>
                </pic:pic>
              </a:graphicData>
            </a:graphic>
          </wp:anchor>
        </w:drawing>
      </w:r>
      <w:r>
        <w:rPr>
          <w:rFonts w:hint="eastAsia"/>
          <w:b w:val="0"/>
          <w:bCs w:val="0"/>
        </w:rPr>
        <w:drawing>
          <wp:anchor distT="0" distB="0" distL="114300" distR="114300" simplePos="0" relativeHeight="251665408" behindDoc="0" locked="0" layoutInCell="1" allowOverlap="1">
            <wp:simplePos x="0" y="0"/>
            <wp:positionH relativeFrom="column">
              <wp:posOffset>277495</wp:posOffset>
            </wp:positionH>
            <wp:positionV relativeFrom="paragraph">
              <wp:posOffset>221615</wp:posOffset>
            </wp:positionV>
            <wp:extent cx="2371725" cy="1552575"/>
            <wp:effectExtent l="19050" t="0" r="9525" b="0"/>
            <wp:wrapSquare wrapText="bothSides"/>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35" cstate="print"/>
                    <a:srcRect/>
                    <a:stretch>
                      <a:fillRect/>
                    </a:stretch>
                  </pic:blipFill>
                  <pic:spPr>
                    <a:xfrm>
                      <a:off x="0" y="0"/>
                      <a:ext cx="2371725" cy="1552575"/>
                    </a:xfrm>
                    <a:prstGeom prst="rect">
                      <a:avLst/>
                    </a:prstGeom>
                    <a:noFill/>
                    <a:ln w="9525">
                      <a:noFill/>
                      <a:miter lim="800000"/>
                      <a:headEnd/>
                      <a:tailEnd/>
                    </a:ln>
                  </pic:spPr>
                </pic:pic>
              </a:graphicData>
            </a:graphic>
          </wp:anchor>
        </w:drawing>
      </w:r>
      <w:r>
        <w:rPr>
          <w:rFonts w:hint="eastAsia"/>
          <w:sz w:val="24"/>
        </w:rPr>
        <w:t>图13  清理出的</w:t>
      </w:r>
      <w:r>
        <w:rPr>
          <w:sz w:val="24"/>
        </w:rPr>
        <w:t>5</w:t>
      </w:r>
      <w:r>
        <w:rPr>
          <w:rFonts w:hint="eastAsia"/>
          <w:sz w:val="24"/>
        </w:rPr>
        <w:t>9轨道下山下部掘进面锚杆钻机</w:t>
      </w:r>
      <w:bookmarkStart w:id="27" w:name="_Hlk56030948"/>
    </w:p>
    <w:p>
      <w:pPr>
        <w:pStyle w:val="40"/>
        <w:ind w:firstLine="1701" w:firstLineChars="784"/>
        <w:jc w:val="left"/>
        <w:rPr>
          <w:sz w:val="24"/>
        </w:rPr>
      </w:pPr>
    </w:p>
    <w:bookmarkEnd w:id="27"/>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10、由59皮带下山折返进入4</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联巷，先后可见东、西各一道由钢筋焊制、表面蒙风筒布的简易风门，巷内支护完好，未见明显的破坏痕迹。</w:t>
      </w:r>
    </w:p>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11、距5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联巷巷口90m的59回风下山内开始有新鲜煤尘堆积，离5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联巷越近，煤尘堆积厚度越大，至5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联巷巷口，煤尘厚度达到0.6m；5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联巷巷口往下的59回风下山内有长8m、最大厚度0.6m的粉煤堆积，堆积角20°左右，小于煤的自然安息角，如图14所示。</w:t>
      </w:r>
    </w:p>
    <w:p>
      <w:pPr>
        <w:spacing w:line="360" w:lineRule="auto"/>
        <w:ind w:firstLine="514"/>
        <w:jc w:val="center"/>
        <w:rPr>
          <w:sz w:val="28"/>
          <w:szCs w:val="28"/>
        </w:rPr>
      </w:pPr>
      <w:r>
        <w:rPr>
          <w:sz w:val="28"/>
          <w:szCs w:val="28"/>
        </w:rPr>
        <w:drawing>
          <wp:inline distT="0" distB="0" distL="0" distR="0">
            <wp:extent cx="4819650" cy="1628775"/>
            <wp:effectExtent l="19050" t="0" r="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noChangeArrowheads="1"/>
                    </pic:cNvPicPr>
                  </pic:nvPicPr>
                  <pic:blipFill>
                    <a:blip r:embed="rId36" cstate="print"/>
                    <a:srcRect/>
                    <a:stretch>
                      <a:fillRect/>
                    </a:stretch>
                  </pic:blipFill>
                  <pic:spPr>
                    <a:xfrm>
                      <a:off x="0" y="0"/>
                      <a:ext cx="4819650" cy="1628775"/>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图14   59回风下山煤堆积示意图</w:t>
      </w:r>
    </w:p>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12、3</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联巷内支护和通风构筑物完好，未见明显破坏痕迹，巷内可见丢弃的矿帽、便携式自救器和自救器用压缩氧钢瓶（图15）。</w:t>
      </w:r>
    </w:p>
    <w:p>
      <w:pPr>
        <w:spacing w:line="360" w:lineRule="auto"/>
        <w:ind w:firstLine="594"/>
        <w:jc w:val="center"/>
      </w:pPr>
      <w:r>
        <w:drawing>
          <wp:inline distT="0" distB="0" distL="0" distR="0">
            <wp:extent cx="2007870" cy="1390650"/>
            <wp:effectExtent l="1905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37" cstate="print"/>
                    <a:srcRect/>
                    <a:stretch>
                      <a:fillRect/>
                    </a:stretch>
                  </pic:blipFill>
                  <pic:spPr>
                    <a:xfrm>
                      <a:off x="0" y="0"/>
                      <a:ext cx="2008483" cy="1390650"/>
                    </a:xfrm>
                    <a:prstGeom prst="rect">
                      <a:avLst/>
                    </a:prstGeom>
                    <a:noFill/>
                    <a:ln w="9525">
                      <a:noFill/>
                      <a:miter lim="800000"/>
                      <a:headEnd/>
                      <a:tailEnd/>
                    </a:ln>
                  </pic:spPr>
                </pic:pic>
              </a:graphicData>
            </a:graphic>
          </wp:inline>
        </w:drawing>
      </w:r>
      <w:r>
        <w:drawing>
          <wp:inline distT="0" distB="0" distL="0" distR="0">
            <wp:extent cx="2019300" cy="1392555"/>
            <wp:effectExtent l="19050" t="0" r="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noChangeArrowheads="1"/>
                    </pic:cNvPicPr>
                  </pic:nvPicPr>
                  <pic:blipFill>
                    <a:blip r:embed="rId38" cstate="print"/>
                    <a:srcRect/>
                    <a:stretch>
                      <a:fillRect/>
                    </a:stretch>
                  </pic:blipFill>
                  <pic:spPr>
                    <a:xfrm rot="10800000">
                      <a:off x="0" y="0"/>
                      <a:ext cx="2019300" cy="1392620"/>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图15  3#联巷内丢弃的矿帽和自救器</w:t>
      </w:r>
      <w:bookmarkStart w:id="28" w:name="_Toc56367549"/>
    </w:p>
    <w:p>
      <w:pPr>
        <w:pStyle w:val="40"/>
        <w:ind w:firstLine="596"/>
        <w:rPr>
          <w:rFonts w:ascii="仿宋" w:hAnsi="仿宋" w:eastAsia="仿宋" w:cs="仿宋"/>
          <w:bCs w:val="0"/>
          <w:kern w:val="2"/>
          <w:sz w:val="32"/>
          <w:szCs w:val="32"/>
        </w:rPr>
      </w:pPr>
      <w:r>
        <w:rPr>
          <w:rFonts w:hint="eastAsia" w:ascii="仿宋" w:hAnsi="仿宋" w:eastAsia="仿宋" w:cs="仿宋"/>
          <w:bCs w:val="0"/>
          <w:kern w:val="2"/>
          <w:sz w:val="32"/>
          <w:szCs w:val="32"/>
        </w:rPr>
        <w:t>(二)煤层赋存勘查</w:t>
      </w:r>
      <w:bookmarkEnd w:id="28"/>
      <w:bookmarkStart w:id="29" w:name="_Toc56367550"/>
      <w:r>
        <w:rPr>
          <w:rFonts w:hint="eastAsia" w:ascii="仿宋" w:hAnsi="仿宋" w:eastAsia="仿宋" w:cs="仿宋"/>
          <w:bCs w:val="0"/>
          <w:kern w:val="2"/>
          <w:sz w:val="32"/>
          <w:szCs w:val="32"/>
        </w:rPr>
        <w:t>情况</w:t>
      </w:r>
    </w:p>
    <w:p>
      <w:pPr>
        <w:pStyle w:val="40"/>
        <w:ind w:firstLine="596"/>
        <w:rPr>
          <w:rFonts w:ascii="仿宋" w:hAnsi="仿宋" w:eastAsia="仿宋" w:cs="仿宋"/>
          <w:b w:val="0"/>
          <w:bCs w:val="0"/>
          <w:kern w:val="2"/>
          <w:sz w:val="32"/>
          <w:szCs w:val="32"/>
        </w:rPr>
      </w:pPr>
      <w:r>
        <w:rPr>
          <w:rFonts w:ascii="仿宋" w:hAnsi="仿宋" w:eastAsia="仿宋" w:cs="仿宋"/>
          <w:bCs w:val="0"/>
          <w:kern w:val="2"/>
          <w:sz w:val="32"/>
          <w:szCs w:val="32"/>
        </w:rPr>
        <w:t>1</w:t>
      </w:r>
      <w:r>
        <w:rPr>
          <w:rFonts w:hint="eastAsia" w:ascii="仿宋" w:hAnsi="仿宋" w:eastAsia="仿宋" w:cs="仿宋"/>
          <w:bCs w:val="0"/>
          <w:kern w:val="2"/>
          <w:sz w:val="32"/>
          <w:szCs w:val="32"/>
        </w:rPr>
        <w:t>、煤厚变化</w:t>
      </w:r>
      <w:bookmarkEnd w:id="29"/>
      <w:r>
        <w:rPr>
          <w:rFonts w:hint="eastAsia" w:ascii="仿宋" w:hAnsi="仿宋" w:eastAsia="仿宋" w:cs="仿宋"/>
          <w:bCs w:val="0"/>
          <w:kern w:val="2"/>
          <w:sz w:val="32"/>
          <w:szCs w:val="32"/>
        </w:rPr>
        <w:t>。</w:t>
      </w:r>
      <w:r>
        <w:rPr>
          <w:rFonts w:ascii="仿宋" w:hAnsi="仿宋" w:eastAsia="仿宋" w:cs="仿宋"/>
          <w:b w:val="0"/>
          <w:bCs w:val="0"/>
          <w:kern w:val="2"/>
          <w:sz w:val="32"/>
          <w:szCs w:val="32"/>
        </w:rPr>
        <w:t>59</w:t>
      </w:r>
      <w:r>
        <w:rPr>
          <w:rFonts w:hint="eastAsia" w:ascii="仿宋" w:hAnsi="仿宋" w:eastAsia="仿宋" w:cs="仿宋"/>
          <w:b w:val="0"/>
          <w:bCs w:val="0"/>
          <w:kern w:val="2"/>
          <w:sz w:val="32"/>
          <w:szCs w:val="32"/>
        </w:rPr>
        <w:t>轨道下山位于5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回风下山和5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皮带下山中间位置。从现场观察情况看，5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皮带下山多位于5</w:t>
      </w:r>
      <w:r>
        <w:rPr>
          <w:rFonts w:hint="eastAsia" w:ascii="仿宋" w:hAnsi="仿宋" w:eastAsia="仿宋" w:cs="仿宋"/>
          <w:b w:val="0"/>
          <w:bCs w:val="0"/>
          <w:kern w:val="2"/>
          <w:sz w:val="32"/>
          <w:szCs w:val="32"/>
          <w:vertAlign w:val="superscript"/>
        </w:rPr>
        <w:t>-</w:t>
      </w:r>
      <w:r>
        <w:rPr>
          <w:rFonts w:ascii="仿宋" w:hAnsi="仿宋" w:eastAsia="仿宋" w:cs="仿宋"/>
          <w:b w:val="0"/>
          <w:bCs w:val="0"/>
          <w:kern w:val="2"/>
          <w:sz w:val="32"/>
          <w:szCs w:val="32"/>
          <w:vertAlign w:val="superscript"/>
        </w:rPr>
        <w:t>2</w:t>
      </w:r>
      <w:r>
        <w:rPr>
          <w:rFonts w:hint="eastAsia" w:ascii="仿宋" w:hAnsi="仿宋" w:eastAsia="仿宋" w:cs="仿宋"/>
          <w:b w:val="0"/>
          <w:bCs w:val="0"/>
          <w:kern w:val="2"/>
          <w:sz w:val="32"/>
          <w:szCs w:val="32"/>
        </w:rPr>
        <w:t>号煤层内，巷道角度较为均匀且平缓；而5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回风下山上部倾角小，下部倾角大，巷道壁有全煤、半煤半岩、全岩情形，表明煤层变化较为剧烈。为此，第四次现场勘查时，通过钻探方法勘查了巷道底部煤层厚度，如图16所示。巷道沿顶掘进，故测试巷道高度加上底部煤层厚度即为煤层厚度。</w:t>
      </w:r>
    </w:p>
    <w:p>
      <w:pPr>
        <w:spacing w:line="360" w:lineRule="auto"/>
        <w:ind w:firstLine="594"/>
        <w:jc w:val="left"/>
      </w:pPr>
      <w:r>
        <w:drawing>
          <wp:inline distT="0" distB="0" distL="0" distR="0">
            <wp:extent cx="2552700" cy="1295400"/>
            <wp:effectExtent l="1905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rrowheads="1"/>
                    </pic:cNvPicPr>
                  </pic:nvPicPr>
                  <pic:blipFill>
                    <a:blip r:embed="rId39" cstate="print"/>
                    <a:srcRect/>
                    <a:stretch>
                      <a:fillRect/>
                    </a:stretch>
                  </pic:blipFill>
                  <pic:spPr>
                    <a:xfrm>
                      <a:off x="0" y="0"/>
                      <a:ext cx="2552700" cy="1295400"/>
                    </a:xfrm>
                    <a:prstGeom prst="rect">
                      <a:avLst/>
                    </a:prstGeom>
                    <a:noFill/>
                    <a:ln w="9525">
                      <a:noFill/>
                      <a:miter lim="800000"/>
                      <a:headEnd/>
                      <a:tailEnd/>
                    </a:ln>
                  </pic:spPr>
                </pic:pic>
              </a:graphicData>
            </a:graphic>
          </wp:inline>
        </w:drawing>
      </w:r>
      <w:r>
        <w:drawing>
          <wp:inline distT="0" distB="0" distL="0" distR="0">
            <wp:extent cx="1924050" cy="1293495"/>
            <wp:effectExtent l="19050" t="0" r="0" b="0"/>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noChangeArrowheads="1"/>
                    </pic:cNvPicPr>
                  </pic:nvPicPr>
                  <pic:blipFill>
                    <a:blip r:embed="rId40" cstate="print"/>
                    <a:srcRect/>
                    <a:stretch>
                      <a:fillRect/>
                    </a:stretch>
                  </pic:blipFill>
                  <pic:spPr>
                    <a:xfrm>
                      <a:off x="0" y="0"/>
                      <a:ext cx="1933065" cy="1299872"/>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图16 煤厚探测与巷道高度测量</w:t>
      </w:r>
    </w:p>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煤厚勘查钻孔围绕5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皮带下山、5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回风下山和4</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联巷布置。5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轨道下山巷道布置3个勘查钻孔，距离5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联巷分别为8m、</w:t>
      </w:r>
      <w:r>
        <w:rPr>
          <w:rFonts w:ascii="仿宋" w:hAnsi="仿宋" w:eastAsia="仿宋" w:cs="仿宋"/>
          <w:b w:val="0"/>
          <w:bCs w:val="0"/>
          <w:kern w:val="2"/>
          <w:sz w:val="32"/>
          <w:szCs w:val="32"/>
        </w:rPr>
        <w:t>13</w:t>
      </w:r>
      <w:r>
        <w:rPr>
          <w:rFonts w:hint="eastAsia" w:ascii="仿宋" w:hAnsi="仿宋" w:eastAsia="仿宋" w:cs="仿宋"/>
          <w:b w:val="0"/>
          <w:bCs w:val="0"/>
          <w:kern w:val="2"/>
          <w:sz w:val="32"/>
          <w:szCs w:val="32"/>
        </w:rPr>
        <w:t>m和1</w:t>
      </w:r>
      <w:r>
        <w:rPr>
          <w:rFonts w:ascii="仿宋" w:hAnsi="仿宋" w:eastAsia="仿宋" w:cs="仿宋"/>
          <w:b w:val="0"/>
          <w:bCs w:val="0"/>
          <w:kern w:val="2"/>
          <w:sz w:val="32"/>
          <w:szCs w:val="32"/>
        </w:rPr>
        <w:t>8</w:t>
      </w:r>
      <w:r>
        <w:rPr>
          <w:rFonts w:hint="eastAsia" w:ascii="仿宋" w:hAnsi="仿宋" w:eastAsia="仿宋" w:cs="仿宋"/>
          <w:b w:val="0"/>
          <w:bCs w:val="0"/>
          <w:kern w:val="2"/>
          <w:sz w:val="32"/>
          <w:szCs w:val="32"/>
        </w:rPr>
        <w:t>m；4</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联巷内各布置4个勘查钻孔，钻孔间距1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皮带下山与5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回风下山各布置</w:t>
      </w:r>
      <w:r>
        <w:rPr>
          <w:rFonts w:ascii="仿宋" w:hAnsi="仿宋" w:eastAsia="仿宋" w:cs="仿宋"/>
          <w:b w:val="0"/>
          <w:bCs w:val="0"/>
          <w:kern w:val="2"/>
          <w:sz w:val="32"/>
          <w:szCs w:val="32"/>
        </w:rPr>
        <w:t>10</w:t>
      </w:r>
      <w:r>
        <w:rPr>
          <w:rFonts w:hint="eastAsia" w:ascii="仿宋" w:hAnsi="仿宋" w:eastAsia="仿宋" w:cs="仿宋"/>
          <w:b w:val="0"/>
          <w:bCs w:val="0"/>
          <w:kern w:val="2"/>
          <w:sz w:val="32"/>
          <w:szCs w:val="32"/>
        </w:rPr>
        <w:t>个勘查钻孔，钻孔间距一般2</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m，靠近5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联巷附近钻孔间距1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m。事故区域共布置勘查钻孔3</w:t>
      </w:r>
      <w:r>
        <w:rPr>
          <w:rFonts w:ascii="仿宋" w:hAnsi="仿宋" w:eastAsia="仿宋" w:cs="仿宋"/>
          <w:b w:val="0"/>
          <w:bCs w:val="0"/>
          <w:kern w:val="2"/>
          <w:sz w:val="32"/>
          <w:szCs w:val="32"/>
        </w:rPr>
        <w:t>1</w:t>
      </w:r>
      <w:r>
        <w:rPr>
          <w:rFonts w:hint="eastAsia" w:ascii="仿宋" w:hAnsi="仿宋" w:eastAsia="仿宋" w:cs="仿宋"/>
          <w:b w:val="0"/>
          <w:bCs w:val="0"/>
          <w:kern w:val="2"/>
          <w:sz w:val="32"/>
          <w:szCs w:val="32"/>
        </w:rPr>
        <w:t>个，勘查的煤层厚度如图17所示。</w:t>
      </w:r>
    </w:p>
    <w:p>
      <w:pPr>
        <w:spacing w:line="360" w:lineRule="auto"/>
        <w:ind w:firstLine="594"/>
        <w:jc w:val="center"/>
        <w:rPr>
          <w:sz w:val="28"/>
          <w:szCs w:val="28"/>
        </w:rPr>
      </w:pPr>
      <w:r>
        <w:drawing>
          <wp:inline distT="0" distB="0" distL="0" distR="0">
            <wp:extent cx="4419600" cy="240030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41" cstate="print"/>
                    <a:srcRect/>
                    <a:stretch>
                      <a:fillRect/>
                    </a:stretch>
                  </pic:blipFill>
                  <pic:spPr>
                    <a:xfrm>
                      <a:off x="0" y="0"/>
                      <a:ext cx="4419600" cy="2400300"/>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图17  煤层厚度勘查结果</w:t>
      </w:r>
    </w:p>
    <w:p>
      <w:pPr>
        <w:pStyle w:val="40"/>
        <w:ind w:firstLine="594"/>
        <w:rPr>
          <w:rFonts w:ascii="仿宋" w:hAnsi="仿宋" w:eastAsia="仿宋" w:cs="仿宋"/>
          <w:b w:val="0"/>
          <w:bCs w:val="0"/>
          <w:kern w:val="2"/>
          <w:sz w:val="32"/>
          <w:szCs w:val="32"/>
        </w:rPr>
      </w:pPr>
      <w:r>
        <w:rPr>
          <w:rFonts w:hint="eastAsia" w:ascii="仿宋" w:hAnsi="仿宋" w:eastAsia="仿宋" w:cs="仿宋"/>
          <w:b w:val="0"/>
          <w:bCs w:val="0"/>
          <w:kern w:val="2"/>
          <w:sz w:val="32"/>
          <w:szCs w:val="32"/>
        </w:rPr>
        <w:t>勘查的最大煤厚为6</w:t>
      </w:r>
      <w:r>
        <w:rPr>
          <w:rFonts w:ascii="仿宋" w:hAnsi="仿宋" w:eastAsia="仿宋" w:cs="仿宋"/>
          <w:b w:val="0"/>
          <w:bCs w:val="0"/>
          <w:kern w:val="2"/>
          <w:sz w:val="32"/>
          <w:szCs w:val="32"/>
        </w:rPr>
        <w:t>.5</w:t>
      </w:r>
      <w:r>
        <w:rPr>
          <w:rFonts w:hint="eastAsia" w:ascii="仿宋" w:hAnsi="仿宋" w:eastAsia="仿宋" w:cs="仿宋"/>
          <w:b w:val="0"/>
          <w:bCs w:val="0"/>
          <w:kern w:val="2"/>
          <w:sz w:val="32"/>
          <w:szCs w:val="32"/>
        </w:rPr>
        <w:t>m，位于5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运输下山、在5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联巷上部6</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m处；勘查的最小煤厚为0m，位于5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回风下山、在5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联巷上部4</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m处。5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回风下山由北向东，煤厚急剧变化，在2</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m范围内由6</w:t>
      </w:r>
      <w:r>
        <w:rPr>
          <w:rFonts w:ascii="仿宋" w:hAnsi="仿宋" w:eastAsia="仿宋" w:cs="仿宋"/>
          <w:b w:val="0"/>
          <w:bCs w:val="0"/>
          <w:kern w:val="2"/>
          <w:sz w:val="32"/>
          <w:szCs w:val="32"/>
        </w:rPr>
        <w:t>.2</w:t>
      </w:r>
      <w:r>
        <w:rPr>
          <w:rFonts w:hint="eastAsia" w:ascii="仿宋" w:hAnsi="仿宋" w:eastAsia="仿宋" w:cs="仿宋"/>
          <w:b w:val="0"/>
          <w:bCs w:val="0"/>
          <w:kern w:val="2"/>
          <w:sz w:val="32"/>
          <w:szCs w:val="32"/>
        </w:rPr>
        <w:t>m减小到0m，而后相对稳定，但厚度通常不足1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皮带下山由北向南煤厚变化相对平缓，近4</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联巷附近煤厚在1</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m左右。4</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联巷与5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联巷间的煤体，由东南向西北方向，煤层总体表现出先急剧增厚而后逐渐变薄的特征。事故地点位于5</w:t>
      </w:r>
      <w:r>
        <w:rPr>
          <w:rFonts w:hint="eastAsia" w:ascii="仿宋" w:hAnsi="仿宋" w:eastAsia="仿宋" w:cs="仿宋"/>
          <w:b w:val="0"/>
          <w:bCs w:val="0"/>
          <w:kern w:val="2"/>
          <w:sz w:val="32"/>
          <w:szCs w:val="32"/>
          <w:vertAlign w:val="superscript"/>
        </w:rPr>
        <w:t>-</w:t>
      </w:r>
      <w:r>
        <w:rPr>
          <w:rFonts w:ascii="仿宋" w:hAnsi="仿宋" w:eastAsia="仿宋" w:cs="仿宋"/>
          <w:b w:val="0"/>
          <w:bCs w:val="0"/>
          <w:kern w:val="2"/>
          <w:sz w:val="32"/>
          <w:szCs w:val="32"/>
          <w:vertAlign w:val="superscript"/>
        </w:rPr>
        <w:t>2</w:t>
      </w:r>
      <w:r>
        <w:rPr>
          <w:rFonts w:hint="eastAsia" w:ascii="仿宋" w:hAnsi="仿宋" w:eastAsia="仿宋" w:cs="仿宋"/>
          <w:b w:val="0"/>
          <w:bCs w:val="0"/>
          <w:kern w:val="2"/>
          <w:sz w:val="32"/>
          <w:szCs w:val="32"/>
        </w:rPr>
        <w:t>煤层急剧增厚带内。</w:t>
      </w:r>
      <w:bookmarkStart w:id="30" w:name="_Toc56367551"/>
    </w:p>
    <w:p>
      <w:pPr>
        <w:pStyle w:val="40"/>
        <w:ind w:firstLine="596"/>
        <w:rPr>
          <w:rFonts w:ascii="仿宋" w:hAnsi="仿宋" w:eastAsia="仿宋" w:cs="仿宋"/>
          <w:b w:val="0"/>
          <w:bCs w:val="0"/>
          <w:kern w:val="2"/>
          <w:sz w:val="32"/>
          <w:szCs w:val="32"/>
        </w:rPr>
      </w:pPr>
      <w:r>
        <w:rPr>
          <w:rFonts w:ascii="仿宋" w:hAnsi="仿宋" w:eastAsia="仿宋" w:cs="仿宋"/>
          <w:bCs w:val="0"/>
          <w:kern w:val="2"/>
          <w:sz w:val="32"/>
          <w:szCs w:val="32"/>
        </w:rPr>
        <w:t>2</w:t>
      </w:r>
      <w:r>
        <w:rPr>
          <w:rFonts w:hint="eastAsia" w:ascii="仿宋" w:hAnsi="仿宋" w:eastAsia="仿宋" w:cs="仿宋"/>
          <w:bCs w:val="0"/>
          <w:kern w:val="2"/>
          <w:sz w:val="32"/>
          <w:szCs w:val="32"/>
        </w:rPr>
        <w:t>、煤层产状变化</w:t>
      </w:r>
      <w:bookmarkEnd w:id="30"/>
      <w:r>
        <w:rPr>
          <w:rFonts w:hint="eastAsia" w:ascii="仿宋" w:hAnsi="仿宋" w:eastAsia="仿宋" w:cs="仿宋"/>
          <w:bCs w:val="0"/>
          <w:kern w:val="2"/>
          <w:sz w:val="32"/>
          <w:szCs w:val="32"/>
        </w:rPr>
        <w:t>。</w:t>
      </w:r>
      <w:r>
        <w:rPr>
          <w:rFonts w:hint="eastAsia" w:ascii="仿宋" w:hAnsi="仿宋" w:eastAsia="仿宋" w:cs="仿宋"/>
          <w:b w:val="0"/>
          <w:bCs w:val="0"/>
          <w:kern w:val="2"/>
          <w:sz w:val="32"/>
          <w:szCs w:val="32"/>
        </w:rPr>
        <w:t>勘查组测量了各探煤点的顶、底板高程变化，测量结果如图18、19所示。可以看出，5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回风下山距离5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w:t>
      </w:r>
      <w:r>
        <w:rPr>
          <w:rFonts w:ascii="仿宋" w:hAnsi="仿宋" w:eastAsia="仿宋" w:cs="仿宋"/>
          <w:b w:val="0"/>
          <w:bCs w:val="0"/>
          <w:kern w:val="2"/>
          <w:sz w:val="32"/>
          <w:szCs w:val="32"/>
        </w:rPr>
        <w:t>52</w:t>
      </w:r>
      <w:r>
        <w:rPr>
          <w:rFonts w:hint="eastAsia" w:ascii="仿宋" w:hAnsi="仿宋" w:eastAsia="仿宋" w:cs="仿宋"/>
          <w:b w:val="0"/>
          <w:bCs w:val="0"/>
          <w:kern w:val="2"/>
          <w:sz w:val="32"/>
          <w:szCs w:val="32"/>
        </w:rPr>
        <w:t>m左右角度变化大，即由原来的1</w:t>
      </w:r>
      <w:r>
        <w:rPr>
          <w:rFonts w:ascii="仿宋" w:hAnsi="仿宋" w:eastAsia="仿宋" w:cs="仿宋"/>
          <w:b w:val="0"/>
          <w:bCs w:val="0"/>
          <w:kern w:val="2"/>
          <w:sz w:val="32"/>
          <w:szCs w:val="32"/>
        </w:rPr>
        <w:t>3</w:t>
      </w:r>
      <w:r>
        <w:rPr>
          <w:rFonts w:hint="eastAsia" w:ascii="仿宋" w:hAnsi="仿宋" w:eastAsia="仿宋" w:cs="仿宋"/>
          <w:b w:val="0"/>
          <w:bCs w:val="0"/>
          <w:kern w:val="2"/>
          <w:sz w:val="32"/>
          <w:szCs w:val="32"/>
        </w:rPr>
        <w:t>°变为2</w:t>
      </w:r>
      <w:r>
        <w:rPr>
          <w:rFonts w:ascii="仿宋" w:hAnsi="仿宋" w:eastAsia="仿宋" w:cs="仿宋"/>
          <w:b w:val="0"/>
          <w:bCs w:val="0"/>
          <w:kern w:val="2"/>
          <w:sz w:val="32"/>
          <w:szCs w:val="32"/>
        </w:rPr>
        <w:t>0</w:t>
      </w:r>
      <w:r>
        <w:rPr>
          <w:rFonts w:hint="eastAsia" w:ascii="仿宋" w:hAnsi="仿宋" w:eastAsia="仿宋" w:cs="仿宋"/>
          <w:b w:val="0"/>
          <w:bCs w:val="0"/>
          <w:kern w:val="2"/>
          <w:sz w:val="32"/>
          <w:szCs w:val="32"/>
        </w:rPr>
        <w:t>°左右；而5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运输下山的角度稳定在1</w:t>
      </w:r>
      <w:r>
        <w:rPr>
          <w:rFonts w:ascii="仿宋" w:hAnsi="仿宋" w:eastAsia="仿宋" w:cs="仿宋"/>
          <w:b w:val="0"/>
          <w:bCs w:val="0"/>
          <w:kern w:val="2"/>
          <w:sz w:val="32"/>
          <w:szCs w:val="32"/>
        </w:rPr>
        <w:t>3</w:t>
      </w:r>
      <w:r>
        <w:rPr>
          <w:rFonts w:hint="eastAsia" w:ascii="仿宋" w:hAnsi="仿宋" w:eastAsia="仿宋" w:cs="仿宋"/>
          <w:b w:val="0"/>
          <w:bCs w:val="0"/>
          <w:kern w:val="2"/>
          <w:sz w:val="32"/>
          <w:szCs w:val="32"/>
        </w:rPr>
        <w:t>°左右；5</w:t>
      </w:r>
      <w:r>
        <w:rPr>
          <w:rFonts w:hint="eastAsia" w:ascii="仿宋" w:hAnsi="仿宋" w:eastAsia="仿宋" w:cs="仿宋"/>
          <w:b w:val="0"/>
          <w:bCs w:val="0"/>
          <w:kern w:val="2"/>
          <w:sz w:val="32"/>
          <w:szCs w:val="32"/>
          <w:vertAlign w:val="superscript"/>
        </w:rPr>
        <w:t>-</w:t>
      </w:r>
      <w:r>
        <w:rPr>
          <w:rFonts w:ascii="仿宋" w:hAnsi="仿宋" w:eastAsia="仿宋" w:cs="仿宋"/>
          <w:b w:val="0"/>
          <w:bCs w:val="0"/>
          <w:kern w:val="2"/>
          <w:sz w:val="32"/>
          <w:szCs w:val="32"/>
          <w:vertAlign w:val="superscript"/>
        </w:rPr>
        <w:t>2</w:t>
      </w:r>
      <w:r>
        <w:rPr>
          <w:rFonts w:hint="eastAsia" w:ascii="仿宋" w:hAnsi="仿宋" w:eastAsia="仿宋" w:cs="仿宋"/>
          <w:b w:val="0"/>
          <w:bCs w:val="0"/>
          <w:kern w:val="2"/>
          <w:sz w:val="32"/>
          <w:szCs w:val="32"/>
        </w:rPr>
        <w:t>号煤层底板具有东南高、西北低的特点。5</w:t>
      </w:r>
      <w:r>
        <w:rPr>
          <w:rFonts w:ascii="仿宋" w:hAnsi="仿宋" w:eastAsia="仿宋" w:cs="仿宋"/>
          <w:b w:val="0"/>
          <w:bCs w:val="0"/>
          <w:kern w:val="2"/>
          <w:sz w:val="32"/>
          <w:szCs w:val="32"/>
        </w:rPr>
        <w:t>9</w:t>
      </w:r>
      <w:r>
        <w:rPr>
          <w:rFonts w:hint="eastAsia" w:ascii="仿宋" w:hAnsi="仿宋" w:eastAsia="仿宋" w:cs="仿宋"/>
          <w:b w:val="0"/>
          <w:bCs w:val="0"/>
          <w:kern w:val="2"/>
          <w:sz w:val="32"/>
          <w:szCs w:val="32"/>
        </w:rPr>
        <w:t>轨道下山由5</w:t>
      </w:r>
      <w:r>
        <w:rPr>
          <w:rFonts w:hint="eastAsia" w:ascii="仿宋" w:hAnsi="仿宋" w:eastAsia="仿宋" w:cs="仿宋"/>
          <w:b w:val="0"/>
          <w:bCs w:val="0"/>
          <w:kern w:val="2"/>
          <w:sz w:val="32"/>
          <w:szCs w:val="32"/>
          <w:vertAlign w:val="superscript"/>
        </w:rPr>
        <w:t>#</w:t>
      </w:r>
      <w:r>
        <w:rPr>
          <w:rFonts w:hint="eastAsia" w:ascii="仿宋" w:hAnsi="仿宋" w:eastAsia="仿宋" w:cs="仿宋"/>
          <w:b w:val="0"/>
          <w:bCs w:val="0"/>
          <w:kern w:val="2"/>
          <w:sz w:val="32"/>
          <w:szCs w:val="32"/>
        </w:rPr>
        <w:t>联巷向事故地点由低逐渐升高后又急剧下降再逐渐升高的特点，在事故点底板呈现连续起伏。</w:t>
      </w:r>
    </w:p>
    <w:p>
      <w:pPr>
        <w:pStyle w:val="40"/>
        <w:ind w:firstLine="0" w:firstLineChars="0"/>
        <w:jc w:val="center"/>
        <w:rPr>
          <w:b w:val="0"/>
        </w:rPr>
      </w:pPr>
      <w:r>
        <w:drawing>
          <wp:inline distT="0" distB="0" distL="0" distR="0">
            <wp:extent cx="4543425" cy="228282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42" cstate="print"/>
                    <a:srcRect/>
                    <a:stretch>
                      <a:fillRect/>
                    </a:stretch>
                  </pic:blipFill>
                  <pic:spPr>
                    <a:xfrm>
                      <a:off x="0" y="0"/>
                      <a:ext cx="4543425" cy="2283205"/>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图18 现场勘查获得的煤层底板高程与等高线</w:t>
      </w:r>
    </w:p>
    <w:p>
      <w:pPr>
        <w:snapToGrid w:val="0"/>
        <w:spacing w:line="240" w:lineRule="atLeast"/>
        <w:ind w:firstLine="594"/>
        <w:jc w:val="center"/>
        <w:rPr>
          <w:b/>
          <w:bCs/>
          <w:sz w:val="24"/>
        </w:rPr>
      </w:pPr>
      <w:r>
        <w:drawing>
          <wp:inline distT="0" distB="0" distL="0" distR="0">
            <wp:extent cx="4870450" cy="15621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43" cstate="print"/>
                    <a:srcRect/>
                    <a:stretch>
                      <a:fillRect/>
                    </a:stretch>
                  </pic:blipFill>
                  <pic:spPr>
                    <a:xfrm>
                      <a:off x="0" y="0"/>
                      <a:ext cx="4870450" cy="1562100"/>
                    </a:xfrm>
                    <a:prstGeom prst="rect">
                      <a:avLst/>
                    </a:prstGeom>
                    <a:noFill/>
                    <a:ln w="9525">
                      <a:noFill/>
                      <a:miter lim="800000"/>
                      <a:headEnd/>
                      <a:tailEnd/>
                    </a:ln>
                  </pic:spPr>
                </pic:pic>
              </a:graphicData>
            </a:graphic>
          </wp:inline>
        </w:drawing>
      </w:r>
    </w:p>
    <w:p>
      <w:pPr>
        <w:snapToGrid w:val="0"/>
        <w:spacing w:line="240" w:lineRule="atLeast"/>
        <w:ind w:firstLine="594"/>
        <w:jc w:val="center"/>
        <w:rPr>
          <w:b/>
          <w:bCs/>
          <w:sz w:val="24"/>
        </w:rPr>
      </w:pPr>
      <w:r>
        <w:drawing>
          <wp:inline distT="0" distB="0" distL="0" distR="0">
            <wp:extent cx="4667250" cy="1371600"/>
            <wp:effectExtent l="1905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44" cstate="print"/>
                    <a:srcRect t="12616"/>
                    <a:stretch>
                      <a:fillRect/>
                    </a:stretch>
                  </pic:blipFill>
                  <pic:spPr>
                    <a:xfrm>
                      <a:off x="0" y="0"/>
                      <a:ext cx="4667250" cy="1371600"/>
                    </a:xfrm>
                    <a:prstGeom prst="rect">
                      <a:avLst/>
                    </a:prstGeom>
                    <a:noFill/>
                    <a:ln w="9525">
                      <a:noFill/>
                      <a:miter lim="800000"/>
                      <a:headEnd/>
                      <a:tailEnd/>
                    </a:ln>
                  </pic:spPr>
                </pic:pic>
              </a:graphicData>
            </a:graphic>
          </wp:inline>
        </w:drawing>
      </w:r>
    </w:p>
    <w:p>
      <w:pPr>
        <w:snapToGrid w:val="0"/>
        <w:spacing w:line="240" w:lineRule="atLeast"/>
        <w:ind w:firstLine="594"/>
        <w:jc w:val="center"/>
      </w:pPr>
      <w:r>
        <w:drawing>
          <wp:inline distT="0" distB="0" distL="0" distR="0">
            <wp:extent cx="4591685" cy="1285875"/>
            <wp:effectExtent l="0" t="0" r="1841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45" cstate="print"/>
                    <a:srcRect/>
                    <a:stretch>
                      <a:fillRect/>
                    </a:stretch>
                  </pic:blipFill>
                  <pic:spPr>
                    <a:xfrm>
                      <a:off x="0" y="0"/>
                      <a:ext cx="4591685" cy="1285875"/>
                    </a:xfrm>
                    <a:prstGeom prst="rect">
                      <a:avLst/>
                    </a:prstGeom>
                    <a:noFill/>
                    <a:ln w="9525">
                      <a:noFill/>
                      <a:miter lim="800000"/>
                      <a:headEnd/>
                      <a:tailEnd/>
                    </a:ln>
                  </pic:spPr>
                </pic:pic>
              </a:graphicData>
            </a:graphic>
          </wp:inline>
        </w:drawing>
      </w:r>
    </w:p>
    <w:p>
      <w:pPr>
        <w:pStyle w:val="40"/>
        <w:ind w:firstLine="0" w:firstLineChars="0"/>
        <w:jc w:val="center"/>
        <w:rPr>
          <w:sz w:val="24"/>
        </w:rPr>
      </w:pPr>
      <w:r>
        <w:rPr>
          <w:rFonts w:hint="eastAsia"/>
          <w:sz w:val="24"/>
        </w:rPr>
        <w:t>图19 事故区域煤层剖面图</w:t>
      </w:r>
      <w:bookmarkStart w:id="31" w:name="_Toc56367552"/>
    </w:p>
    <w:p>
      <w:pPr>
        <w:pStyle w:val="40"/>
        <w:ind w:firstLine="0" w:firstLineChars="0"/>
        <w:jc w:val="left"/>
        <w:rPr>
          <w:rFonts w:ascii="仿宋" w:hAnsi="仿宋" w:eastAsia="仿宋" w:cs="仿宋"/>
          <w:b w:val="0"/>
          <w:bCs w:val="0"/>
          <w:kern w:val="2"/>
          <w:sz w:val="32"/>
          <w:szCs w:val="32"/>
        </w:rPr>
      </w:pPr>
      <w:r>
        <w:rPr>
          <w:rFonts w:hint="eastAsia" w:ascii="仿宋" w:hAnsi="仿宋" w:eastAsia="仿宋" w:cs="仿宋"/>
          <w:bCs w:val="0"/>
          <w:kern w:val="2"/>
          <w:sz w:val="32"/>
          <w:szCs w:val="32"/>
        </w:rPr>
        <w:t>(三)突出孔洞情况</w:t>
      </w:r>
      <w:bookmarkEnd w:id="31"/>
      <w:r>
        <w:rPr>
          <w:rFonts w:hint="eastAsia" w:ascii="仿宋" w:hAnsi="仿宋" w:eastAsia="仿宋" w:cs="仿宋"/>
          <w:bCs w:val="0"/>
          <w:kern w:val="2"/>
          <w:sz w:val="32"/>
          <w:szCs w:val="32"/>
        </w:rPr>
        <w:t>。</w:t>
      </w:r>
      <w:r>
        <w:rPr>
          <w:rFonts w:hint="eastAsia" w:ascii="仿宋" w:hAnsi="仿宋" w:eastAsia="仿宋" w:cs="仿宋"/>
          <w:b w:val="0"/>
          <w:bCs w:val="0"/>
          <w:kern w:val="2"/>
          <w:sz w:val="32"/>
          <w:szCs w:val="32"/>
        </w:rPr>
        <w:t>掘进工作面巷道顶板及两侧的锚网、锚杆、锚索基本完好，掘进头正前方约2m空顶，碳质泥岩直接顶呈块状垮塌压在煤上（图20）；掘进头正前方约有0.8m宽的护顶铁丝网向巷口翻卷，钢带外翻（图21），靠近掘进头的3根锚索明显弯曲，弯曲方向均指向巷口（图22）；</w:t>
      </w:r>
      <w:bookmarkStart w:id="32" w:name="_Hlk56210055"/>
      <w:r>
        <w:rPr>
          <w:rFonts w:hint="eastAsia" w:ascii="仿宋" w:hAnsi="仿宋" w:eastAsia="仿宋" w:cs="仿宋"/>
          <w:b w:val="0"/>
          <w:bCs w:val="0"/>
          <w:kern w:val="2"/>
          <w:sz w:val="32"/>
          <w:szCs w:val="32"/>
        </w:rPr>
        <w:t>掘进头前方可见突出孔洞浮煤（图23），但孔洞内部被跨落的直接顶充填，无法测量突出孔洞的延伸方向、尺寸及形状，从锚索弯曲情况来看，突出孔洞位于掘进头正前方。</w:t>
      </w:r>
      <w:bookmarkEnd w:id="32"/>
    </w:p>
    <w:p>
      <w:pPr>
        <w:pStyle w:val="40"/>
        <w:ind w:firstLine="0" w:firstLineChars="0"/>
        <w:jc w:val="left"/>
      </w:pPr>
      <w:r>
        <w:drawing>
          <wp:inline distT="0" distB="0" distL="0" distR="0">
            <wp:extent cx="2495550" cy="1626870"/>
            <wp:effectExtent l="19050" t="0" r="0" b="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noChangeArrowheads="1"/>
                    </pic:cNvPicPr>
                  </pic:nvPicPr>
                  <pic:blipFill>
                    <a:blip r:embed="rId46" cstate="print"/>
                    <a:srcRect/>
                    <a:stretch>
                      <a:fillRect/>
                    </a:stretch>
                  </pic:blipFill>
                  <pic:spPr>
                    <a:xfrm>
                      <a:off x="0" y="0"/>
                      <a:ext cx="2506691" cy="1634191"/>
                    </a:xfrm>
                    <a:prstGeom prst="rect">
                      <a:avLst/>
                    </a:prstGeom>
                    <a:noFill/>
                    <a:ln w="9525">
                      <a:noFill/>
                      <a:miter lim="800000"/>
                      <a:headEnd/>
                      <a:tailEnd/>
                    </a:ln>
                  </pic:spPr>
                </pic:pic>
              </a:graphicData>
            </a:graphic>
          </wp:inline>
        </w:drawing>
      </w:r>
      <w:r>
        <w:drawing>
          <wp:inline distT="0" distB="0" distL="0" distR="0">
            <wp:extent cx="2543175" cy="1628775"/>
            <wp:effectExtent l="19050" t="0" r="9525"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srcRect/>
                    <a:stretch>
                      <a:fillRect/>
                    </a:stretch>
                  </pic:blipFill>
                  <pic:spPr>
                    <a:xfrm>
                      <a:off x="0" y="0"/>
                      <a:ext cx="2543175" cy="1628775"/>
                    </a:xfrm>
                    <a:prstGeom prst="rect">
                      <a:avLst/>
                    </a:prstGeom>
                    <a:noFill/>
                    <a:ln w="9525">
                      <a:noFill/>
                      <a:miter lim="800000"/>
                      <a:headEnd/>
                      <a:tailEnd/>
                    </a:ln>
                  </pic:spPr>
                </pic:pic>
              </a:graphicData>
            </a:graphic>
          </wp:inline>
        </w:drawing>
      </w:r>
    </w:p>
    <w:p>
      <w:pPr>
        <w:pStyle w:val="40"/>
        <w:ind w:firstLine="506" w:firstLineChars="233"/>
        <w:rPr>
          <w:sz w:val="24"/>
        </w:rPr>
      </w:pPr>
      <w:r>
        <w:rPr>
          <w:rFonts w:hint="eastAsia"/>
          <w:sz w:val="24"/>
        </w:rPr>
        <w:t>图20 工作面迎头垮落的煤岩体       图21工作面迎头外翻的钢带</w:t>
      </w:r>
    </w:p>
    <w:p>
      <w:pPr>
        <w:pStyle w:val="40"/>
        <w:ind w:left="774" w:hanging="771" w:hangingChars="300"/>
        <w:jc w:val="left"/>
      </w:pPr>
      <w:r>
        <w:drawing>
          <wp:inline distT="0" distB="0" distL="0" distR="0">
            <wp:extent cx="2686050" cy="150495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8" cstate="print"/>
                    <a:srcRect/>
                    <a:stretch>
                      <a:fillRect/>
                    </a:stretch>
                  </pic:blipFill>
                  <pic:spPr>
                    <a:xfrm>
                      <a:off x="0" y="0"/>
                      <a:ext cx="2686050" cy="1504950"/>
                    </a:xfrm>
                    <a:prstGeom prst="rect">
                      <a:avLst/>
                    </a:prstGeom>
                    <a:noFill/>
                    <a:ln w="9525">
                      <a:noFill/>
                      <a:miter lim="800000"/>
                      <a:headEnd/>
                      <a:tailEnd/>
                    </a:ln>
                  </pic:spPr>
                </pic:pic>
              </a:graphicData>
            </a:graphic>
          </wp:inline>
        </w:drawing>
      </w:r>
      <w:r>
        <w:drawing>
          <wp:inline distT="0" distB="0" distL="0" distR="0">
            <wp:extent cx="2438400" cy="15049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9" cstate="print"/>
                    <a:srcRect/>
                    <a:stretch>
                      <a:fillRect/>
                    </a:stretch>
                  </pic:blipFill>
                  <pic:spPr>
                    <a:xfrm>
                      <a:off x="0" y="0"/>
                      <a:ext cx="2438400" cy="1504950"/>
                    </a:xfrm>
                    <a:prstGeom prst="rect">
                      <a:avLst/>
                    </a:prstGeom>
                    <a:noFill/>
                    <a:ln w="9525">
                      <a:noFill/>
                      <a:miter lim="800000"/>
                      <a:headEnd/>
                      <a:tailEnd/>
                    </a:ln>
                  </pic:spPr>
                </pic:pic>
              </a:graphicData>
            </a:graphic>
          </wp:inline>
        </w:drawing>
      </w:r>
    </w:p>
    <w:p>
      <w:pPr>
        <w:pStyle w:val="40"/>
        <w:ind w:firstLine="506" w:firstLineChars="233"/>
      </w:pPr>
      <w:r>
        <w:rPr>
          <w:rFonts w:hint="eastAsia"/>
          <w:sz w:val="24"/>
        </w:rPr>
        <w:t>图22工作面迎头被打弯的锚索头       图23  突出孔洞浮煤</w:t>
      </w:r>
    </w:p>
    <w:p>
      <w:pPr>
        <w:pStyle w:val="40"/>
        <w:spacing w:line="600" w:lineRule="atLeast"/>
        <w:ind w:firstLine="596"/>
        <w:rPr>
          <w:rFonts w:ascii="仿宋" w:hAnsi="仿宋" w:eastAsia="仿宋" w:cs="仿宋"/>
          <w:b w:val="0"/>
          <w:sz w:val="32"/>
          <w:szCs w:val="32"/>
        </w:rPr>
      </w:pPr>
      <w:r>
        <w:rPr>
          <w:rFonts w:hint="eastAsia" w:ascii="仿宋" w:hAnsi="仿宋" w:eastAsia="仿宋" w:cs="仿宋"/>
          <w:sz w:val="32"/>
          <w:szCs w:val="32"/>
        </w:rPr>
        <w:t>经认定本次突出煤量820吨，突出瓦斯量为33380米</w:t>
      </w:r>
      <w:r>
        <w:rPr>
          <w:rFonts w:hint="eastAsia" w:ascii="仿宋" w:hAnsi="仿宋" w:eastAsia="仿宋" w:cs="仿宋"/>
          <w:sz w:val="32"/>
          <w:szCs w:val="32"/>
          <w:vertAlign w:val="superscript"/>
        </w:rPr>
        <w:t>3</w:t>
      </w:r>
      <w:r>
        <w:rPr>
          <w:rFonts w:hint="eastAsia" w:ascii="仿宋" w:hAnsi="仿宋" w:eastAsia="仿宋" w:cs="仿宋"/>
          <w:sz w:val="32"/>
          <w:szCs w:val="32"/>
        </w:rPr>
        <w:t>，吨煤突出瓦斯量40.7米</w:t>
      </w:r>
      <w:r>
        <w:rPr>
          <w:rFonts w:hint="eastAsia" w:ascii="仿宋" w:hAnsi="仿宋" w:eastAsia="仿宋" w:cs="仿宋"/>
          <w:sz w:val="32"/>
          <w:szCs w:val="32"/>
          <w:vertAlign w:val="superscript"/>
        </w:rPr>
        <w:t>3</w:t>
      </w:r>
      <w:r>
        <w:rPr>
          <w:rFonts w:hint="eastAsia" w:ascii="仿宋" w:hAnsi="仿宋" w:eastAsia="仿宋" w:cs="仿宋"/>
          <w:sz w:val="32"/>
          <w:szCs w:val="32"/>
        </w:rPr>
        <w:t>/吨。</w:t>
      </w:r>
      <w:r>
        <w:rPr>
          <w:rFonts w:hint="eastAsia" w:ascii="仿宋" w:hAnsi="仿宋" w:eastAsia="仿宋" w:cs="仿宋"/>
          <w:b w:val="0"/>
          <w:sz w:val="32"/>
          <w:szCs w:val="32"/>
        </w:rPr>
        <w:t>本次煤与瓦斯突出事故波及到59轨道下山下段掘进面、5</w:t>
      </w:r>
      <w:r>
        <w:rPr>
          <w:rFonts w:hint="eastAsia" w:ascii="仿宋" w:hAnsi="仿宋" w:eastAsia="仿宋" w:cs="仿宋"/>
          <w:b w:val="0"/>
          <w:sz w:val="32"/>
          <w:szCs w:val="32"/>
          <w:vertAlign w:val="superscript"/>
        </w:rPr>
        <w:t>#</w:t>
      </w:r>
      <w:r>
        <w:rPr>
          <w:rFonts w:hint="eastAsia" w:ascii="仿宋" w:hAnsi="仿宋" w:eastAsia="仿宋" w:cs="仿宋"/>
          <w:b w:val="0"/>
          <w:sz w:val="32"/>
          <w:szCs w:val="32"/>
        </w:rPr>
        <w:t>联巷、59皮带下山（部分）、4</w:t>
      </w:r>
      <w:r>
        <w:rPr>
          <w:rFonts w:hint="eastAsia" w:ascii="仿宋" w:hAnsi="仿宋" w:eastAsia="仿宋" w:cs="仿宋"/>
          <w:b w:val="0"/>
          <w:sz w:val="32"/>
          <w:szCs w:val="32"/>
          <w:vertAlign w:val="superscript"/>
        </w:rPr>
        <w:t>#</w:t>
      </w:r>
      <w:r>
        <w:rPr>
          <w:rFonts w:hint="eastAsia" w:ascii="仿宋" w:hAnsi="仿宋" w:eastAsia="仿宋" w:cs="仿宋"/>
          <w:b w:val="0"/>
          <w:sz w:val="32"/>
          <w:szCs w:val="32"/>
        </w:rPr>
        <w:t>联巷、3</w:t>
      </w:r>
      <w:r>
        <w:rPr>
          <w:rFonts w:hint="eastAsia" w:ascii="仿宋" w:hAnsi="仿宋" w:eastAsia="仿宋" w:cs="仿宋"/>
          <w:b w:val="0"/>
          <w:sz w:val="32"/>
          <w:szCs w:val="32"/>
          <w:vertAlign w:val="superscript"/>
        </w:rPr>
        <w:t>#</w:t>
      </w:r>
      <w:r>
        <w:rPr>
          <w:rFonts w:hint="eastAsia" w:ascii="仿宋" w:hAnsi="仿宋" w:eastAsia="仿宋" w:cs="仿宋"/>
          <w:b w:val="0"/>
          <w:sz w:val="32"/>
          <w:szCs w:val="32"/>
        </w:rPr>
        <w:t>联巷、59轨道下山上段掘进面、59回风下山和530总回风巷。事故造成了5</w:t>
      </w:r>
      <w:r>
        <w:rPr>
          <w:rFonts w:hint="eastAsia" w:ascii="仿宋" w:hAnsi="仿宋" w:eastAsia="仿宋" w:cs="仿宋"/>
          <w:b w:val="0"/>
          <w:sz w:val="32"/>
          <w:szCs w:val="32"/>
          <w:vertAlign w:val="superscript"/>
        </w:rPr>
        <w:t>#</w:t>
      </w:r>
      <w:r>
        <w:rPr>
          <w:rFonts w:hint="eastAsia" w:ascii="仿宋" w:hAnsi="仿宋" w:eastAsia="仿宋" w:cs="仿宋"/>
          <w:b w:val="0"/>
          <w:sz w:val="32"/>
          <w:szCs w:val="32"/>
        </w:rPr>
        <w:t>联巷口以上、59皮带下山长度280m的巷道段瓦斯逆流，进而使得安装在该巷道段内给3</w:t>
      </w:r>
      <w:r>
        <w:rPr>
          <w:rFonts w:hint="eastAsia" w:ascii="仿宋" w:hAnsi="仿宋" w:eastAsia="仿宋" w:cs="仿宋"/>
          <w:b w:val="0"/>
          <w:sz w:val="32"/>
          <w:szCs w:val="32"/>
          <w:vertAlign w:val="superscript"/>
        </w:rPr>
        <w:t>#</w:t>
      </w:r>
      <w:r>
        <w:rPr>
          <w:rFonts w:hint="eastAsia" w:ascii="仿宋" w:hAnsi="仿宋" w:eastAsia="仿宋" w:cs="仿宋"/>
          <w:b w:val="0"/>
          <w:sz w:val="32"/>
          <w:szCs w:val="32"/>
        </w:rPr>
        <w:t>联巷59轨道下山上段掘进面供风的对旋局扇吸入高浓度瓦斯，导致掘进面瓦斯严重超限和巷内作业人员短时间缺氧伤害</w:t>
      </w:r>
      <w:r>
        <w:rPr>
          <w:rFonts w:ascii="仿宋" w:hAnsi="仿宋" w:eastAsia="仿宋" w:cs="仿宋"/>
          <w:b w:val="0"/>
          <w:sz w:val="32"/>
          <w:szCs w:val="32"/>
        </w:rPr>
        <w:t>。</w:t>
      </w:r>
    </w:p>
    <w:p>
      <w:pPr>
        <w:pStyle w:val="40"/>
        <w:spacing w:line="600" w:lineRule="atLeast"/>
        <w:ind w:firstLine="594"/>
        <w:rPr>
          <w:rFonts w:ascii="仿宋" w:hAnsi="仿宋" w:eastAsia="仿宋" w:cs="仿宋"/>
          <w:sz w:val="32"/>
          <w:szCs w:val="32"/>
        </w:rPr>
      </w:pPr>
      <w:r>
        <w:rPr>
          <w:rFonts w:hint="eastAsia" w:ascii="仿宋" w:hAnsi="仿宋" w:eastAsia="仿宋" w:cs="仿宋"/>
          <w:b w:val="0"/>
          <w:sz w:val="32"/>
          <w:szCs w:val="32"/>
        </w:rPr>
        <w:t>大量煤岩由掘进面正前抛出并向外运移堆积，最大运移堆积</w:t>
      </w:r>
      <w:r>
        <w:rPr>
          <w:rFonts w:ascii="仿宋" w:hAnsi="仿宋" w:eastAsia="仿宋" w:cs="仿宋"/>
          <w:b w:val="0"/>
          <w:sz w:val="32"/>
          <w:szCs w:val="32"/>
        </w:rPr>
        <w:t>距离</w:t>
      </w:r>
      <w:r>
        <w:rPr>
          <w:rFonts w:hint="eastAsia" w:ascii="仿宋" w:hAnsi="仿宋" w:eastAsia="仿宋" w:cs="仿宋"/>
          <w:b w:val="0"/>
          <w:sz w:val="32"/>
          <w:szCs w:val="32"/>
        </w:rPr>
        <w:t>达82m；巷道内堆积的煤具有明显的</w:t>
      </w:r>
      <w:r>
        <w:rPr>
          <w:rFonts w:ascii="仿宋" w:hAnsi="仿宋" w:eastAsia="仿宋" w:cs="仿宋"/>
          <w:b w:val="0"/>
          <w:sz w:val="32"/>
          <w:szCs w:val="32"/>
        </w:rPr>
        <w:t>分选现象</w:t>
      </w:r>
      <w:r>
        <w:rPr>
          <w:rFonts w:hint="eastAsia" w:ascii="仿宋" w:hAnsi="仿宋" w:eastAsia="仿宋" w:cs="仿宋"/>
          <w:b w:val="0"/>
          <w:sz w:val="32"/>
          <w:szCs w:val="32"/>
        </w:rPr>
        <w:t>，堆积</w:t>
      </w:r>
      <w:r>
        <w:rPr>
          <w:rFonts w:ascii="仿宋" w:hAnsi="仿宋" w:eastAsia="仿宋" w:cs="仿宋"/>
          <w:b w:val="0"/>
          <w:sz w:val="32"/>
          <w:szCs w:val="32"/>
        </w:rPr>
        <w:t>角小于煤的</w:t>
      </w:r>
      <w:r>
        <w:fldChar w:fldCharType="begin"/>
      </w:r>
      <w:r>
        <w:instrText xml:space="preserve"> HYPERLINK "https://baike.baidu.com/item/%E8%87%AA%E7%84%B6%E5%AE%89%E6%81%AF%E8%A7%92" \t "_blank" </w:instrText>
      </w:r>
      <w:r>
        <w:fldChar w:fldCharType="separate"/>
      </w:r>
      <w:r>
        <w:rPr>
          <w:rFonts w:ascii="仿宋" w:hAnsi="仿宋" w:eastAsia="仿宋" w:cs="仿宋"/>
          <w:b w:val="0"/>
          <w:sz w:val="32"/>
          <w:szCs w:val="32"/>
        </w:rPr>
        <w:t>自然安息角</w:t>
      </w:r>
      <w:r>
        <w:rPr>
          <w:rFonts w:ascii="仿宋" w:hAnsi="仿宋" w:eastAsia="仿宋" w:cs="仿宋"/>
          <w:b w:val="0"/>
          <w:sz w:val="32"/>
          <w:szCs w:val="32"/>
        </w:rPr>
        <w:fldChar w:fldCharType="end"/>
      </w:r>
      <w:r>
        <w:rPr>
          <w:rFonts w:hint="eastAsia" w:ascii="仿宋" w:hAnsi="仿宋" w:eastAsia="仿宋" w:cs="仿宋"/>
          <w:b w:val="0"/>
          <w:sz w:val="32"/>
          <w:szCs w:val="32"/>
        </w:rPr>
        <w:t>；造成掘进面锚索尾部弯曲、支护用钢带</w:t>
      </w:r>
      <w:r>
        <w:rPr>
          <w:rFonts w:hint="eastAsia" w:ascii="仿宋" w:hAnsi="仿宋" w:eastAsia="仿宋" w:cs="仿宋"/>
          <w:b w:val="0"/>
          <w:szCs w:val="32"/>
        </w:rPr>
        <w:t>外</w:t>
      </w:r>
      <w:r>
        <w:rPr>
          <w:rFonts w:hint="eastAsia" w:ascii="仿宋" w:hAnsi="仿宋" w:eastAsia="仿宋" w:cs="仿宋"/>
          <w:b w:val="0"/>
          <w:sz w:val="32"/>
          <w:szCs w:val="32"/>
        </w:rPr>
        <w:t>翻和轨道下山下段掘进面巷口锚网局部损坏，动力现象明显</w:t>
      </w:r>
      <w:r>
        <w:rPr>
          <w:rFonts w:hint="eastAsia" w:ascii="仿宋" w:hAnsi="仿宋" w:eastAsia="仿宋" w:cs="仿宋"/>
          <w:sz w:val="32"/>
          <w:szCs w:val="32"/>
        </w:rPr>
        <w:t>。</w:t>
      </w:r>
    </w:p>
    <w:p>
      <w:pPr>
        <w:pStyle w:val="40"/>
        <w:spacing w:line="600" w:lineRule="atLeast"/>
        <w:ind w:firstLine="594"/>
        <w:rPr>
          <w:rFonts w:ascii="仿宋" w:hAnsi="仿宋" w:eastAsia="仿宋" w:cs="仿宋"/>
          <w:b w:val="0"/>
          <w:sz w:val="32"/>
          <w:szCs w:val="32"/>
        </w:rPr>
      </w:pPr>
      <w:r>
        <w:rPr>
          <w:rFonts w:hint="eastAsia" w:ascii="仿宋" w:hAnsi="仿宋" w:eastAsia="仿宋" w:cs="仿宋"/>
          <w:b w:val="0"/>
          <w:sz w:val="32"/>
          <w:szCs w:val="32"/>
        </w:rPr>
        <w:t>事故发生后，事故调查组安排，重庆煤科院对乔子梁煤矿59采区5</w:t>
      </w:r>
      <w:r>
        <w:rPr>
          <w:rFonts w:hint="eastAsia" w:ascii="仿宋" w:hAnsi="仿宋" w:eastAsia="仿宋" w:cs="仿宋"/>
          <w:b w:val="0"/>
          <w:sz w:val="32"/>
          <w:szCs w:val="32"/>
          <w:vertAlign w:val="superscript"/>
        </w:rPr>
        <w:t>#</w:t>
      </w:r>
      <w:r>
        <w:rPr>
          <w:rFonts w:hint="eastAsia" w:ascii="仿宋" w:hAnsi="仿宋" w:eastAsia="仿宋" w:cs="仿宋"/>
          <w:b w:val="0"/>
          <w:sz w:val="32"/>
          <w:szCs w:val="32"/>
        </w:rPr>
        <w:t>联巷5</w:t>
      </w:r>
      <w:r>
        <w:rPr>
          <w:rFonts w:hint="eastAsia" w:ascii="仿宋" w:hAnsi="仿宋" w:eastAsia="仿宋" w:cs="仿宋"/>
          <w:b w:val="0"/>
          <w:sz w:val="32"/>
          <w:szCs w:val="32"/>
          <w:vertAlign w:val="superscript"/>
        </w:rPr>
        <w:t>-2</w:t>
      </w:r>
      <w:r>
        <w:rPr>
          <w:rFonts w:hint="eastAsia" w:ascii="仿宋" w:hAnsi="仿宋" w:eastAsia="仿宋" w:cs="仿宋"/>
          <w:b w:val="0"/>
          <w:sz w:val="32"/>
          <w:szCs w:val="32"/>
        </w:rPr>
        <w:t>煤取样，化验结果为：瓦斯放散初速度△p=29，煤坚固性系数f=0.21。59轨道下山下段掘进工作面5</w:t>
      </w:r>
      <w:r>
        <w:rPr>
          <w:rFonts w:hint="eastAsia" w:ascii="仿宋" w:hAnsi="仿宋" w:eastAsia="仿宋" w:cs="仿宋"/>
          <w:b w:val="0"/>
          <w:sz w:val="32"/>
          <w:szCs w:val="32"/>
          <w:vertAlign w:val="superscript"/>
        </w:rPr>
        <w:t>-2</w:t>
      </w:r>
      <w:r>
        <w:rPr>
          <w:rFonts w:hint="eastAsia" w:ascii="仿宋" w:hAnsi="仿宋" w:eastAsia="仿宋" w:cs="仿宋"/>
          <w:b w:val="0"/>
          <w:sz w:val="32"/>
          <w:szCs w:val="32"/>
        </w:rPr>
        <w:t>煤样，化验结果为:瓦斯放散初速度△p=30，煤坚固性系数f=0.15。属于典型瓦斯突出煤层特征。</w:t>
      </w:r>
    </w:p>
    <w:p>
      <w:pPr>
        <w:adjustRightInd w:val="0"/>
        <w:snapToGrid w:val="0"/>
        <w:spacing w:line="600" w:lineRule="atLeast"/>
        <w:ind w:firstLine="570" w:firstLineChars="192"/>
        <w:rPr>
          <w:rFonts w:ascii="仿宋" w:hAnsi="仿宋" w:eastAsia="仿宋" w:cs="仿宋"/>
          <w:b/>
          <w:bCs/>
          <w:szCs w:val="32"/>
        </w:rPr>
      </w:pPr>
      <w:r>
        <w:rPr>
          <w:rFonts w:hint="eastAsia" w:ascii="仿宋" w:hAnsi="仿宋" w:eastAsia="仿宋" w:cs="仿宋"/>
          <w:b/>
          <w:bCs/>
          <w:szCs w:val="32"/>
        </w:rPr>
        <w:t>七、事故基本要素和类别认定</w:t>
      </w:r>
    </w:p>
    <w:p>
      <w:pPr>
        <w:spacing w:line="600" w:lineRule="atLeast"/>
        <w:ind w:firstLine="596"/>
        <w:rPr>
          <w:rFonts w:ascii="仿宋" w:hAnsi="仿宋" w:eastAsia="仿宋" w:cs="仿宋"/>
          <w:b/>
          <w:bCs/>
          <w:szCs w:val="32"/>
        </w:rPr>
      </w:pPr>
      <w:r>
        <w:rPr>
          <w:rFonts w:hint="eastAsia" w:ascii="仿宋" w:hAnsi="仿宋" w:eastAsia="仿宋" w:cs="仿宋"/>
          <w:b/>
          <w:bCs/>
          <w:szCs w:val="32"/>
        </w:rPr>
        <w:t>（一）事故基本要素认定</w:t>
      </w:r>
    </w:p>
    <w:p>
      <w:pPr>
        <w:ind w:firstLine="596"/>
        <w:rPr>
          <w:rFonts w:ascii="仿宋" w:hAnsi="仿宋" w:eastAsia="仿宋" w:cs="仿宋"/>
          <w:szCs w:val="32"/>
        </w:rPr>
      </w:pPr>
      <w:r>
        <w:rPr>
          <w:rFonts w:hint="eastAsia" w:ascii="仿宋" w:hAnsi="仿宋" w:eastAsia="仿宋" w:cs="仿宋"/>
          <w:b/>
          <w:bCs/>
          <w:szCs w:val="32"/>
        </w:rPr>
        <w:t>1.事故发生时间。</w:t>
      </w:r>
      <w:r>
        <w:rPr>
          <w:rFonts w:hint="eastAsia" w:ascii="仿宋" w:hAnsi="仿宋" w:eastAsia="仿宋" w:cs="仿宋"/>
          <w:szCs w:val="32"/>
        </w:rPr>
        <w:t>2020年11月4日12时15分51秒</w:t>
      </w:r>
    </w:p>
    <w:p>
      <w:pPr>
        <w:pStyle w:val="2"/>
        <w:spacing w:after="0"/>
        <w:ind w:firstLine="596"/>
        <w:rPr>
          <w:rFonts w:ascii="仿宋" w:hAnsi="仿宋" w:eastAsia="仿宋" w:cs="仿宋"/>
          <w:szCs w:val="32"/>
          <w:lang w:eastAsia="zh-CN"/>
        </w:rPr>
      </w:pPr>
      <w:r>
        <w:rPr>
          <w:rFonts w:hint="eastAsia" w:ascii="仿宋" w:hAnsi="仿宋" w:eastAsia="仿宋" w:cs="仿宋"/>
          <w:b/>
          <w:bCs/>
          <w:szCs w:val="32"/>
          <w:lang w:eastAsia="zh-CN"/>
        </w:rPr>
        <w:t>2.事故发生地点。</w:t>
      </w:r>
      <w:r>
        <w:rPr>
          <w:rFonts w:hint="eastAsia" w:ascii="仿宋" w:hAnsi="仿宋" w:eastAsia="仿宋" w:cs="仿宋"/>
          <w:szCs w:val="32"/>
          <w:lang w:eastAsia="zh-CN"/>
        </w:rPr>
        <w:t>事故发生在59轨道下山下段掘进工作面，距5</w:t>
      </w:r>
      <w:r>
        <w:rPr>
          <w:rFonts w:hint="eastAsia" w:ascii="仿宋" w:hAnsi="仿宋" w:eastAsia="仿宋" w:cs="仿宋"/>
          <w:szCs w:val="32"/>
          <w:vertAlign w:val="superscript"/>
          <w:lang w:eastAsia="zh-CN"/>
        </w:rPr>
        <w:t>#</w:t>
      </w:r>
      <w:r>
        <w:rPr>
          <w:rFonts w:hint="eastAsia" w:ascii="仿宋" w:hAnsi="仿宋" w:eastAsia="仿宋" w:cs="仿宋"/>
          <w:szCs w:val="32"/>
          <w:lang w:eastAsia="zh-CN"/>
        </w:rPr>
        <w:t>联巷22米处。</w:t>
      </w:r>
    </w:p>
    <w:p>
      <w:pPr>
        <w:pStyle w:val="2"/>
        <w:spacing w:after="0"/>
        <w:ind w:firstLine="596"/>
        <w:rPr>
          <w:rFonts w:ascii="仿宋" w:hAnsi="仿宋" w:eastAsia="仿宋" w:cs="仿宋"/>
          <w:szCs w:val="32"/>
          <w:lang w:eastAsia="zh-CN"/>
        </w:rPr>
      </w:pPr>
      <w:r>
        <w:rPr>
          <w:rFonts w:hint="eastAsia" w:ascii="仿宋" w:hAnsi="仿宋" w:eastAsia="仿宋" w:cs="仿宋"/>
          <w:b/>
          <w:bCs/>
          <w:szCs w:val="32"/>
          <w:lang w:eastAsia="zh-CN"/>
        </w:rPr>
        <w:t>3.人员伤亡和直接经济损失。</w:t>
      </w:r>
      <w:r>
        <w:rPr>
          <w:rFonts w:hint="eastAsia" w:ascii="仿宋" w:hAnsi="仿宋" w:eastAsia="仿宋" w:cs="仿宋"/>
          <w:szCs w:val="32"/>
          <w:lang w:eastAsia="zh-CN"/>
        </w:rPr>
        <w:t>事故共造成8人死亡，13人轻伤，直接经济损失1732.05万元。</w:t>
      </w:r>
    </w:p>
    <w:p>
      <w:pPr>
        <w:pStyle w:val="2"/>
        <w:numPr>
          <w:ilvl w:val="0"/>
          <w:numId w:val="2"/>
        </w:numPr>
        <w:spacing w:after="0"/>
        <w:ind w:firstLine="596"/>
        <w:rPr>
          <w:rFonts w:ascii="仿宋" w:hAnsi="仿宋" w:eastAsia="仿宋" w:cs="仿宋"/>
          <w:b/>
          <w:bCs/>
          <w:szCs w:val="32"/>
          <w:lang w:eastAsia="zh-CN"/>
        </w:rPr>
      </w:pPr>
      <w:r>
        <w:rPr>
          <w:rFonts w:hint="eastAsia" w:ascii="仿宋" w:hAnsi="仿宋" w:eastAsia="仿宋" w:cs="仿宋"/>
          <w:b/>
          <w:bCs/>
          <w:szCs w:val="32"/>
          <w:lang w:eastAsia="zh-CN"/>
        </w:rPr>
        <w:t>事故类别认定</w:t>
      </w:r>
      <w:r>
        <w:rPr>
          <w:rFonts w:hint="eastAsia" w:ascii="仿宋" w:hAnsi="仿宋" w:eastAsia="仿宋" w:cs="仿宋"/>
          <w:b/>
          <w:bCs/>
          <w:szCs w:val="32"/>
          <w:lang w:eastAsia="zh-CN"/>
        </w:rPr>
        <w:tab/>
      </w:r>
    </w:p>
    <w:p>
      <w:pPr>
        <w:pStyle w:val="2"/>
        <w:spacing w:after="0"/>
        <w:ind w:firstLine="594"/>
        <w:rPr>
          <w:rFonts w:ascii="仿宋" w:hAnsi="仿宋" w:eastAsia="仿宋" w:cs="仿宋"/>
          <w:b/>
          <w:bCs/>
          <w:szCs w:val="32"/>
          <w:lang w:eastAsia="zh-CN"/>
        </w:rPr>
      </w:pPr>
      <w:r>
        <w:rPr>
          <w:rFonts w:hint="eastAsia" w:ascii="仿宋" w:hAnsi="仿宋" w:eastAsia="仿宋" w:cs="仿宋"/>
          <w:szCs w:val="32"/>
          <w:lang w:eastAsia="zh-CN"/>
        </w:rPr>
        <w:t>经调查分析认定，本起事故为煤与瓦斯突出事故。</w:t>
      </w:r>
    </w:p>
    <w:p>
      <w:pPr>
        <w:ind w:firstLine="596"/>
        <w:rPr>
          <w:rFonts w:ascii="仿宋" w:hAnsi="仿宋" w:eastAsia="仿宋" w:cs="仿宋"/>
          <w:b/>
          <w:bCs/>
          <w:szCs w:val="32"/>
        </w:rPr>
      </w:pPr>
      <w:r>
        <w:rPr>
          <w:rFonts w:hint="eastAsia" w:ascii="仿宋" w:hAnsi="仿宋" w:eastAsia="仿宋" w:cs="仿宋"/>
          <w:b/>
          <w:bCs/>
          <w:szCs w:val="32"/>
        </w:rPr>
        <w:t>八、事故原因及性质</w:t>
      </w:r>
    </w:p>
    <w:p>
      <w:pPr>
        <w:pStyle w:val="2"/>
        <w:adjustRightInd w:val="0"/>
        <w:snapToGrid w:val="0"/>
        <w:spacing w:after="0" w:line="560" w:lineRule="exact"/>
        <w:ind w:firstLine="596"/>
        <w:rPr>
          <w:rFonts w:ascii="仿宋_GB2312" w:hAnsi="黑体" w:eastAsia="仿宋_GB2312" w:cs="黑体"/>
          <w:szCs w:val="32"/>
          <w:lang w:eastAsia="zh-CN"/>
        </w:rPr>
      </w:pPr>
      <w:r>
        <w:rPr>
          <w:rFonts w:hint="eastAsia" w:ascii="仿宋" w:hAnsi="仿宋" w:eastAsia="仿宋" w:cs="仿宋"/>
          <w:b/>
          <w:bCs/>
          <w:szCs w:val="32"/>
          <w:lang w:eastAsia="zh-CN"/>
        </w:rPr>
        <w:t>(一）事故直接原因。</w:t>
      </w:r>
      <w:r>
        <w:rPr>
          <w:rFonts w:hint="eastAsia" w:ascii="仿宋" w:hAnsi="仿宋" w:eastAsia="仿宋" w:cs="仿宋"/>
          <w:szCs w:val="32"/>
          <w:lang w:eastAsia="zh-CN"/>
        </w:rPr>
        <w:t>59轨道下山下段掘进工作面处于地质变化带，全层构造煤发育，煤质松软煤层变厚，煤层埋藏深、构造应力大，瓦斯含量高，具备煤与瓦斯突出条件；工作面出现响煤炮、瓦斯忽大忽小频繁超限、片帮等动力现象，在未认真分析、查明原因、采取有效防突措施的情况下，继续冒险组织掘进施工，综掘机割煤诱发突出，导致事故发生</w:t>
      </w:r>
      <w:r>
        <w:rPr>
          <w:rFonts w:hint="eastAsia" w:ascii="仿宋_GB2312" w:hAnsi="黑体" w:eastAsia="仿宋_GB2312" w:cs="黑体"/>
          <w:szCs w:val="32"/>
          <w:lang w:eastAsia="zh-CN"/>
        </w:rPr>
        <w:t>。</w:t>
      </w:r>
    </w:p>
    <w:p>
      <w:pPr>
        <w:pStyle w:val="2"/>
        <w:adjustRightInd w:val="0"/>
        <w:snapToGrid w:val="0"/>
        <w:spacing w:after="0" w:line="560" w:lineRule="exact"/>
        <w:ind w:firstLine="596"/>
        <w:rPr>
          <w:rFonts w:ascii="仿宋" w:hAnsi="仿宋" w:eastAsia="仿宋" w:cs="仿宋"/>
          <w:b/>
          <w:szCs w:val="32"/>
          <w:lang w:eastAsia="zh-CN"/>
        </w:rPr>
      </w:pPr>
      <w:bookmarkStart w:id="33" w:name="_Toc56367564"/>
      <w:r>
        <w:rPr>
          <w:rFonts w:hint="eastAsia" w:ascii="仿宋" w:hAnsi="仿宋" w:eastAsia="仿宋" w:cs="仿宋"/>
          <w:b/>
          <w:szCs w:val="32"/>
          <w:lang w:eastAsia="zh-CN"/>
        </w:rPr>
        <w:t>1、煤层具备煤与瓦斯突出</w:t>
      </w:r>
      <w:bookmarkEnd w:id="33"/>
      <w:bookmarkStart w:id="34" w:name="_Toc56365017"/>
      <w:bookmarkStart w:id="35" w:name="_Toc56367565"/>
      <w:r>
        <w:rPr>
          <w:rFonts w:hint="eastAsia" w:ascii="仿宋" w:hAnsi="仿宋" w:eastAsia="仿宋" w:cs="仿宋"/>
          <w:b/>
          <w:szCs w:val="32"/>
          <w:lang w:eastAsia="zh-CN"/>
        </w:rPr>
        <w:t>条件。</w:t>
      </w:r>
    </w:p>
    <w:p>
      <w:pPr>
        <w:pStyle w:val="2"/>
        <w:adjustRightInd w:val="0"/>
        <w:snapToGrid w:val="0"/>
        <w:spacing w:after="0" w:line="560" w:lineRule="exact"/>
        <w:ind w:firstLine="596"/>
        <w:rPr>
          <w:rFonts w:ascii="仿宋" w:hAnsi="仿宋" w:eastAsia="仿宋" w:cs="仿宋"/>
          <w:szCs w:val="32"/>
          <w:lang w:eastAsia="zh-CN"/>
        </w:rPr>
      </w:pPr>
      <w:r>
        <w:rPr>
          <w:rFonts w:hint="eastAsia" w:ascii="仿宋" w:hAnsi="仿宋" w:eastAsia="仿宋" w:cs="仿宋"/>
          <w:b/>
          <w:szCs w:val="32"/>
          <w:lang w:eastAsia="zh-CN"/>
        </w:rPr>
        <w:drawing>
          <wp:anchor distT="0" distB="0" distL="114300" distR="114300" simplePos="0" relativeHeight="251668480" behindDoc="0" locked="0" layoutInCell="1" allowOverlap="1">
            <wp:simplePos x="0" y="0"/>
            <wp:positionH relativeFrom="column">
              <wp:posOffset>59055</wp:posOffset>
            </wp:positionH>
            <wp:positionV relativeFrom="paragraph">
              <wp:posOffset>1437640</wp:posOffset>
            </wp:positionV>
            <wp:extent cx="5010150" cy="2524125"/>
            <wp:effectExtent l="19050" t="0" r="0" b="0"/>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50" cstate="print"/>
                    <a:srcRect/>
                    <a:stretch>
                      <a:fillRect/>
                    </a:stretch>
                  </pic:blipFill>
                  <pic:spPr>
                    <a:xfrm>
                      <a:off x="0" y="0"/>
                      <a:ext cx="5010150" cy="2524125"/>
                    </a:xfrm>
                    <a:prstGeom prst="rect">
                      <a:avLst/>
                    </a:prstGeom>
                    <a:noFill/>
                    <a:ln w="9525">
                      <a:noFill/>
                      <a:miter lim="800000"/>
                      <a:headEnd/>
                      <a:tailEnd/>
                    </a:ln>
                  </pic:spPr>
                </pic:pic>
              </a:graphicData>
            </a:graphic>
          </wp:anchor>
        </w:drawing>
      </w:r>
      <w:r>
        <w:rPr>
          <w:rFonts w:hint="eastAsia" w:ascii="仿宋" w:hAnsi="仿宋" w:eastAsia="仿宋" w:cs="仿宋"/>
          <w:b/>
          <w:szCs w:val="32"/>
          <w:lang w:eastAsia="zh-CN"/>
        </w:rPr>
        <w:t>（1）煤层急剧变厚</w:t>
      </w:r>
      <w:bookmarkEnd w:id="34"/>
      <w:bookmarkEnd w:id="35"/>
      <w:r>
        <w:rPr>
          <w:rFonts w:hint="eastAsia" w:ascii="仿宋" w:hAnsi="仿宋" w:eastAsia="仿宋" w:cs="仿宋"/>
          <w:b/>
          <w:szCs w:val="32"/>
          <w:lang w:eastAsia="zh-CN"/>
        </w:rPr>
        <w:t>。</w:t>
      </w:r>
      <w:r>
        <w:rPr>
          <w:rFonts w:hint="eastAsia" w:ascii="仿宋" w:hAnsi="仿宋" w:eastAsia="仿宋" w:cs="仿宋"/>
          <w:szCs w:val="32"/>
          <w:lang w:eastAsia="zh-CN"/>
        </w:rPr>
        <w:t>根据现场勘查的煤层厚度，绘制煤层厚度等值线，如图24所示。事故区域煤层厚度急剧变化，实测煤层厚度为0～6.5m，本次突出地点位于煤厚急剧变化的变厚带内。</w:t>
      </w:r>
    </w:p>
    <w:p>
      <w:pPr>
        <w:ind w:firstLine="594"/>
        <w:jc w:val="center"/>
      </w:pPr>
    </w:p>
    <w:p>
      <w:pPr>
        <w:pStyle w:val="40"/>
        <w:ind w:firstLine="0" w:firstLineChars="0"/>
        <w:jc w:val="center"/>
        <w:rPr>
          <w:sz w:val="24"/>
        </w:rPr>
      </w:pPr>
      <w:r>
        <w:rPr>
          <w:rFonts w:hint="eastAsia"/>
          <w:sz w:val="24"/>
        </w:rPr>
        <w:t>图24 事故区域5</w:t>
      </w:r>
      <w:r>
        <w:rPr>
          <w:rFonts w:hint="eastAsia"/>
          <w:sz w:val="24"/>
          <w:vertAlign w:val="superscript"/>
        </w:rPr>
        <w:t>-</w:t>
      </w:r>
      <w:r>
        <w:rPr>
          <w:sz w:val="24"/>
          <w:vertAlign w:val="superscript"/>
        </w:rPr>
        <w:t>2</w:t>
      </w:r>
      <w:r>
        <w:rPr>
          <w:rFonts w:hint="eastAsia"/>
          <w:sz w:val="24"/>
        </w:rPr>
        <w:t>号煤层煤厚变化图</w:t>
      </w:r>
    </w:p>
    <w:p>
      <w:pPr>
        <w:pStyle w:val="44"/>
        <w:spacing w:line="560" w:lineRule="exact"/>
        <w:ind w:firstLine="596"/>
        <w:rPr>
          <w:rFonts w:ascii="仿宋" w:hAnsi="仿宋" w:eastAsia="仿宋" w:cs="仿宋"/>
          <w:kern w:val="2"/>
          <w:sz w:val="32"/>
          <w:szCs w:val="32"/>
        </w:rPr>
      </w:pPr>
      <w:bookmarkStart w:id="36" w:name="_Toc56367566"/>
      <w:bookmarkStart w:id="37" w:name="_Toc56365018"/>
      <w:r>
        <w:rPr>
          <w:rFonts w:hint="eastAsia" w:ascii="仿宋" w:hAnsi="仿宋" w:eastAsia="仿宋" w:cs="仿宋"/>
          <w:b/>
          <w:kern w:val="2"/>
          <w:sz w:val="32"/>
          <w:szCs w:val="32"/>
        </w:rPr>
        <w:t>（2）全层构造煤</w:t>
      </w:r>
      <w:bookmarkEnd w:id="36"/>
      <w:bookmarkEnd w:id="37"/>
      <w:r>
        <w:rPr>
          <w:rFonts w:hint="eastAsia" w:ascii="仿宋" w:hAnsi="仿宋" w:eastAsia="仿宋" w:cs="仿宋"/>
          <w:b/>
          <w:kern w:val="2"/>
          <w:sz w:val="32"/>
          <w:szCs w:val="32"/>
        </w:rPr>
        <w:t>。</w:t>
      </w:r>
      <w:r>
        <w:rPr>
          <w:rFonts w:hint="eastAsia" w:ascii="仿宋" w:hAnsi="仿宋" w:eastAsia="仿宋" w:cs="仿宋"/>
          <w:kern w:val="2"/>
          <w:sz w:val="32"/>
          <w:szCs w:val="32"/>
        </w:rPr>
        <w:t>现场勘测发现5</w:t>
      </w:r>
      <w:r>
        <w:rPr>
          <w:rFonts w:hint="eastAsia" w:ascii="仿宋" w:hAnsi="仿宋" w:eastAsia="仿宋" w:cs="仿宋"/>
          <w:kern w:val="2"/>
          <w:sz w:val="32"/>
          <w:szCs w:val="32"/>
          <w:vertAlign w:val="superscript"/>
        </w:rPr>
        <w:t>-2</w:t>
      </w:r>
      <w:r>
        <w:rPr>
          <w:rFonts w:hint="eastAsia" w:ascii="仿宋" w:hAnsi="仿宋" w:eastAsia="仿宋" w:cs="仿宋"/>
          <w:kern w:val="2"/>
          <w:sz w:val="32"/>
          <w:szCs w:val="32"/>
        </w:rPr>
        <w:t>煤层59轨道下山掘进工作面煤层倾角变大，煤层变厚，这些构造煤看似完整，但手捻易成粉末，属于</w:t>
      </w: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4 \* ROMAN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IV</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w:t>
      </w: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 = 5 \* ROMAN </w:instrText>
      </w:r>
      <w:r>
        <w:rPr>
          <w:rFonts w:hint="eastAsia" w:ascii="仿宋" w:hAnsi="仿宋" w:eastAsia="仿宋" w:cs="仿宋"/>
          <w:kern w:val="2"/>
          <w:sz w:val="32"/>
          <w:szCs w:val="32"/>
        </w:rPr>
        <w:fldChar w:fldCharType="separate"/>
      </w:r>
      <w:r>
        <w:rPr>
          <w:rFonts w:hint="eastAsia" w:ascii="仿宋" w:hAnsi="仿宋" w:eastAsia="仿宋" w:cs="仿宋"/>
          <w:kern w:val="2"/>
          <w:sz w:val="32"/>
          <w:szCs w:val="32"/>
        </w:rPr>
        <w:t>V</w:t>
      </w:r>
      <w:r>
        <w:rPr>
          <w:rFonts w:hint="eastAsia" w:ascii="仿宋" w:hAnsi="仿宋" w:eastAsia="仿宋" w:cs="仿宋"/>
          <w:kern w:val="2"/>
          <w:sz w:val="32"/>
          <w:szCs w:val="32"/>
        </w:rPr>
        <w:fldChar w:fldCharType="end"/>
      </w:r>
      <w:r>
        <w:rPr>
          <w:rFonts w:hint="eastAsia" w:ascii="仿宋" w:hAnsi="仿宋" w:eastAsia="仿宋" w:cs="仿宋"/>
          <w:kern w:val="2"/>
          <w:sz w:val="32"/>
          <w:szCs w:val="32"/>
        </w:rPr>
        <w:t>类构造煤，见图25。</w:t>
      </w:r>
    </w:p>
    <w:p>
      <w:pPr>
        <w:ind w:firstLine="594"/>
        <w:rPr>
          <w:sz w:val="28"/>
          <w:szCs w:val="28"/>
        </w:rPr>
      </w:pPr>
      <w:r>
        <w:drawing>
          <wp:anchor distT="0" distB="0" distL="114300" distR="114300" simplePos="0" relativeHeight="251667456" behindDoc="0" locked="0" layoutInCell="1" allowOverlap="1">
            <wp:simplePos x="0" y="0"/>
            <wp:positionH relativeFrom="column">
              <wp:posOffset>2964180</wp:posOffset>
            </wp:positionH>
            <wp:positionV relativeFrom="paragraph">
              <wp:posOffset>122555</wp:posOffset>
            </wp:positionV>
            <wp:extent cx="2457450" cy="1638300"/>
            <wp:effectExtent l="19050" t="0" r="0" b="0"/>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51" cstate="print"/>
                    <a:srcRect/>
                    <a:stretch>
                      <a:fillRect/>
                    </a:stretch>
                  </pic:blipFill>
                  <pic:spPr>
                    <a:xfrm>
                      <a:off x="0" y="0"/>
                      <a:ext cx="2457450" cy="1638300"/>
                    </a:xfrm>
                    <a:prstGeom prst="rect">
                      <a:avLst/>
                    </a:prstGeom>
                    <a:noFill/>
                    <a:ln w="9525">
                      <a:noFill/>
                      <a:miter lim="800000"/>
                      <a:headEnd/>
                      <a:tailEnd/>
                    </a:ln>
                  </pic:spPr>
                </pic:pic>
              </a:graphicData>
            </a:graphic>
          </wp:anchor>
        </w:drawing>
      </w:r>
      <w:r>
        <w:drawing>
          <wp:anchor distT="0" distB="0" distL="114300" distR="114300" simplePos="0" relativeHeight="251669504" behindDoc="0" locked="0" layoutInCell="1" allowOverlap="1">
            <wp:simplePos x="0" y="0"/>
            <wp:positionH relativeFrom="column">
              <wp:posOffset>487680</wp:posOffset>
            </wp:positionH>
            <wp:positionV relativeFrom="paragraph">
              <wp:posOffset>122555</wp:posOffset>
            </wp:positionV>
            <wp:extent cx="2419350" cy="1628775"/>
            <wp:effectExtent l="19050" t="0" r="0" b="0"/>
            <wp:wrapSquare wrapText="bothSides"/>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noChangeArrowheads="1"/>
                    </pic:cNvPicPr>
                  </pic:nvPicPr>
                  <pic:blipFill>
                    <a:blip r:embed="rId52" cstate="print"/>
                    <a:srcRect/>
                    <a:stretch>
                      <a:fillRect/>
                    </a:stretch>
                  </pic:blipFill>
                  <pic:spPr>
                    <a:xfrm>
                      <a:off x="0" y="0"/>
                      <a:ext cx="2419350" cy="1628775"/>
                    </a:xfrm>
                    <a:prstGeom prst="rect">
                      <a:avLst/>
                    </a:prstGeom>
                    <a:noFill/>
                    <a:ln w="9525">
                      <a:noFill/>
                      <a:miter lim="800000"/>
                      <a:headEnd/>
                      <a:tailEnd/>
                    </a:ln>
                  </pic:spPr>
                </pic:pic>
              </a:graphicData>
            </a:graphic>
          </wp:anchor>
        </w:drawing>
      </w:r>
    </w:p>
    <w:p>
      <w:pPr>
        <w:pStyle w:val="40"/>
        <w:ind w:firstLine="0" w:firstLineChars="0"/>
        <w:jc w:val="center"/>
        <w:rPr>
          <w:sz w:val="24"/>
        </w:rPr>
      </w:pPr>
    </w:p>
    <w:p>
      <w:pPr>
        <w:pStyle w:val="40"/>
        <w:ind w:firstLine="0" w:firstLineChars="0"/>
        <w:jc w:val="center"/>
        <w:rPr>
          <w:sz w:val="24"/>
        </w:rPr>
      </w:pPr>
    </w:p>
    <w:p>
      <w:pPr>
        <w:pStyle w:val="40"/>
        <w:ind w:firstLine="0" w:firstLineChars="0"/>
        <w:jc w:val="center"/>
        <w:rPr>
          <w:sz w:val="24"/>
        </w:rPr>
      </w:pPr>
    </w:p>
    <w:p>
      <w:pPr>
        <w:pStyle w:val="40"/>
        <w:ind w:firstLine="0" w:firstLineChars="0"/>
        <w:jc w:val="center"/>
        <w:rPr>
          <w:sz w:val="24"/>
        </w:rPr>
      </w:pPr>
    </w:p>
    <w:p>
      <w:pPr>
        <w:pStyle w:val="40"/>
        <w:ind w:firstLine="0" w:firstLineChars="0"/>
        <w:jc w:val="center"/>
        <w:rPr>
          <w:sz w:val="24"/>
        </w:rPr>
      </w:pPr>
    </w:p>
    <w:p>
      <w:pPr>
        <w:pStyle w:val="40"/>
        <w:ind w:firstLine="0" w:firstLineChars="0"/>
        <w:jc w:val="center"/>
        <w:rPr>
          <w:sz w:val="24"/>
        </w:rPr>
      </w:pPr>
    </w:p>
    <w:p>
      <w:pPr>
        <w:pStyle w:val="40"/>
        <w:ind w:firstLine="0" w:firstLineChars="0"/>
        <w:jc w:val="center"/>
        <w:rPr>
          <w:sz w:val="24"/>
        </w:rPr>
      </w:pPr>
      <w:r>
        <w:rPr>
          <w:rFonts w:hint="eastAsia"/>
          <w:sz w:val="24"/>
        </w:rPr>
        <w:t>图25 突出巷道两侧看似完整的构造煤</w:t>
      </w:r>
    </w:p>
    <w:p>
      <w:pPr>
        <w:pStyle w:val="44"/>
        <w:spacing w:line="560" w:lineRule="exact"/>
        <w:ind w:firstLine="596"/>
        <w:rPr>
          <w:rFonts w:ascii="仿宋" w:hAnsi="仿宋" w:eastAsia="仿宋" w:cs="仿宋"/>
          <w:sz w:val="32"/>
          <w:szCs w:val="32"/>
        </w:rPr>
      </w:pPr>
      <w:bookmarkStart w:id="38" w:name="_Toc56365019"/>
      <w:bookmarkStart w:id="39" w:name="_Toc56367567"/>
      <w:r>
        <w:rPr>
          <w:rFonts w:hint="eastAsia" w:ascii="仿宋" w:hAnsi="仿宋" w:eastAsia="仿宋" w:cs="仿宋"/>
          <w:b/>
          <w:kern w:val="2"/>
          <w:sz w:val="32"/>
          <w:szCs w:val="32"/>
        </w:rPr>
        <w:t>（3）埋深大、地应力大</w:t>
      </w:r>
      <w:bookmarkEnd w:id="38"/>
      <w:bookmarkEnd w:id="39"/>
      <w:r>
        <w:rPr>
          <w:rFonts w:hint="eastAsia" w:ascii="仿宋" w:hAnsi="仿宋" w:eastAsia="仿宋" w:cs="仿宋"/>
          <w:b/>
          <w:kern w:val="2"/>
          <w:sz w:val="32"/>
          <w:szCs w:val="32"/>
        </w:rPr>
        <w:t>。</w:t>
      </w:r>
      <w:r>
        <w:rPr>
          <w:rFonts w:hint="eastAsia" w:ascii="仿宋" w:hAnsi="仿宋" w:eastAsia="仿宋" w:cs="仿宋"/>
          <w:kern w:val="2"/>
          <w:sz w:val="32"/>
          <w:szCs w:val="32"/>
        </w:rPr>
        <w:t>事故地点59轨道下山下段掘进工作面煤层埋深640m，垂直应力16MPa左右。5</w:t>
      </w:r>
      <w:r>
        <w:rPr>
          <w:rFonts w:hint="eastAsia" w:ascii="仿宋" w:hAnsi="仿宋" w:eastAsia="仿宋" w:cs="仿宋"/>
          <w:kern w:val="2"/>
          <w:sz w:val="32"/>
          <w:szCs w:val="32"/>
          <w:vertAlign w:val="superscript"/>
        </w:rPr>
        <w:t>-2</w:t>
      </w:r>
      <w:r>
        <w:rPr>
          <w:rFonts w:hint="eastAsia" w:ascii="仿宋" w:hAnsi="仿宋" w:eastAsia="仿宋" w:cs="仿宋"/>
          <w:kern w:val="2"/>
          <w:sz w:val="32"/>
          <w:szCs w:val="32"/>
        </w:rPr>
        <w:t>号煤层顶板稳定，下部变形严重，煤层局部变厚。局部变厚是水平构造应力挤压的结果，依据我国水平构造应力与垂直应力的统计分析结果，预计水平构造应力在25MPa以上。</w:t>
      </w:r>
      <w:r>
        <w:rPr>
          <w:rFonts w:hint="eastAsia" w:ascii="仿宋" w:hAnsi="仿宋" w:eastAsia="仿宋" w:cs="仿宋"/>
          <w:sz w:val="32"/>
          <w:szCs w:val="32"/>
        </w:rPr>
        <w:t>事故地点位于倾斜长112m、走向宽50m已掘巷道圈定的煤柱区内，存在集中应力叠加效应；59轨道下山下段掘进工作面采用反向上山掘进，煤的自重应力有利于突出的发生。</w:t>
      </w:r>
    </w:p>
    <w:p>
      <w:pPr>
        <w:pStyle w:val="44"/>
        <w:spacing w:line="560" w:lineRule="exact"/>
        <w:ind w:firstLine="596"/>
        <w:rPr>
          <w:rFonts w:ascii="仿宋" w:hAnsi="仿宋" w:eastAsia="仿宋" w:cs="仿宋"/>
          <w:sz w:val="32"/>
          <w:szCs w:val="32"/>
        </w:rPr>
      </w:pPr>
      <w:bookmarkStart w:id="40" w:name="_Toc56365020"/>
      <w:bookmarkStart w:id="41" w:name="_Toc56367568"/>
      <w:r>
        <w:rPr>
          <w:rFonts w:hint="eastAsia" w:ascii="仿宋" w:hAnsi="仿宋" w:eastAsia="仿宋" w:cs="仿宋"/>
          <w:b/>
          <w:sz w:val="32"/>
          <w:szCs w:val="32"/>
        </w:rPr>
        <w:t>（4）存在高瓦斯区</w:t>
      </w:r>
      <w:bookmarkEnd w:id="40"/>
      <w:bookmarkEnd w:id="41"/>
      <w:r>
        <w:rPr>
          <w:rFonts w:hint="eastAsia" w:ascii="仿宋" w:hAnsi="仿宋" w:eastAsia="仿宋" w:cs="仿宋"/>
          <w:b/>
          <w:sz w:val="32"/>
          <w:szCs w:val="32"/>
        </w:rPr>
        <w:t>。</w:t>
      </w:r>
      <w:r>
        <w:rPr>
          <w:rFonts w:hint="eastAsia" w:ascii="仿宋" w:hAnsi="仿宋" w:eastAsia="仿宋" w:cs="仿宋"/>
          <w:sz w:val="32"/>
          <w:szCs w:val="32"/>
        </w:rPr>
        <w:t>煤层局部变厚带煤体的物理、化学结构发生改变，其生成、储存瓦斯的能力显著提高，高应力作用下煤体自身具有较强封存瓦斯的能力；5</w:t>
      </w:r>
      <w:r>
        <w:rPr>
          <w:rFonts w:hint="eastAsia" w:ascii="仿宋" w:hAnsi="仿宋" w:eastAsia="仿宋" w:cs="仿宋"/>
          <w:sz w:val="32"/>
          <w:szCs w:val="32"/>
          <w:vertAlign w:val="superscript"/>
        </w:rPr>
        <w:t>-2</w:t>
      </w:r>
      <w:r>
        <w:rPr>
          <w:rFonts w:hint="eastAsia" w:ascii="仿宋" w:hAnsi="仿宋" w:eastAsia="仿宋" w:cs="仿宋"/>
          <w:sz w:val="32"/>
          <w:szCs w:val="32"/>
        </w:rPr>
        <w:t>号煤层老顶坚硬、致密，阻碍了变厚带煤体瓦斯的向上运移。因此，这种形式的变厚带容易赋存高能瓦斯。</w:t>
      </w:r>
    </w:p>
    <w:p>
      <w:pPr>
        <w:pStyle w:val="44"/>
        <w:spacing w:line="560" w:lineRule="exact"/>
        <w:ind w:firstLine="596"/>
        <w:rPr>
          <w:rFonts w:ascii="仿宋" w:hAnsi="仿宋" w:eastAsia="仿宋" w:cs="仿宋"/>
          <w:sz w:val="32"/>
          <w:szCs w:val="32"/>
        </w:rPr>
      </w:pPr>
      <w:bookmarkStart w:id="42" w:name="_Toc56365021"/>
      <w:bookmarkStart w:id="43" w:name="_Toc56367569"/>
      <w:r>
        <w:rPr>
          <w:rFonts w:hint="eastAsia" w:ascii="仿宋" w:hAnsi="仿宋" w:eastAsia="仿宋" w:cs="仿宋"/>
          <w:b/>
          <w:sz w:val="32"/>
          <w:szCs w:val="32"/>
        </w:rPr>
        <w:t>（5）多次发生突出预兆和瓦斯动力现象</w:t>
      </w:r>
      <w:bookmarkEnd w:id="42"/>
      <w:bookmarkEnd w:id="43"/>
      <w:r>
        <w:rPr>
          <w:rFonts w:hint="eastAsia" w:ascii="仿宋" w:hAnsi="仿宋" w:eastAsia="仿宋" w:cs="仿宋"/>
          <w:b/>
          <w:sz w:val="32"/>
          <w:szCs w:val="32"/>
        </w:rPr>
        <w:t>。</w:t>
      </w:r>
      <w:r>
        <w:rPr>
          <w:rFonts w:hint="eastAsia" w:ascii="仿宋" w:hAnsi="仿宋" w:eastAsia="仿宋" w:cs="仿宋"/>
          <w:sz w:val="32"/>
          <w:szCs w:val="32"/>
        </w:rPr>
        <w:t>经调查谈话取证、查阅资料，59回风下山、59轨道下山掘进过程中，多次发生过煤炮声、片帮、压出等动力现象；2020年4月30日施工59回风下山水仓过程中，发生工作面抛出煤量约30～40t、2名工人被埋腰腿部、综掘机被埋的动力现象。</w:t>
      </w:r>
    </w:p>
    <w:p>
      <w:pPr>
        <w:pStyle w:val="44"/>
        <w:spacing w:line="560" w:lineRule="exact"/>
        <w:ind w:firstLine="596"/>
        <w:rPr>
          <w:rFonts w:ascii="仿宋" w:hAnsi="仿宋" w:eastAsia="仿宋" w:cs="仿宋"/>
          <w:sz w:val="32"/>
          <w:szCs w:val="32"/>
        </w:rPr>
      </w:pPr>
      <w:r>
        <w:rPr>
          <w:rFonts w:hint="eastAsia" w:ascii="仿宋" w:hAnsi="仿宋" w:eastAsia="仿宋" w:cs="仿宋"/>
          <w:b/>
          <w:sz w:val="32"/>
          <w:szCs w:val="32"/>
        </w:rPr>
        <w:t>（6）</w:t>
      </w:r>
      <w:r>
        <w:rPr>
          <w:rFonts w:ascii="仿宋" w:hAnsi="仿宋" w:eastAsia="仿宋" w:cs="仿宋"/>
          <w:b/>
          <w:sz w:val="32"/>
          <w:szCs w:val="32"/>
        </w:rPr>
        <w:t>经检测煤层具有典型的煤与瓦斯突出特征</w:t>
      </w:r>
      <w:r>
        <w:rPr>
          <w:rFonts w:hint="eastAsia" w:ascii="仿宋" w:hAnsi="仿宋" w:eastAsia="仿宋" w:cs="仿宋"/>
          <w:b/>
          <w:sz w:val="32"/>
          <w:szCs w:val="32"/>
        </w:rPr>
        <w:t>。</w:t>
      </w:r>
      <w:r>
        <w:rPr>
          <w:rFonts w:hint="eastAsia" w:ascii="仿宋" w:hAnsi="仿宋" w:eastAsia="仿宋" w:cs="仿宋"/>
          <w:sz w:val="32"/>
          <w:szCs w:val="32"/>
        </w:rPr>
        <w:t>事故发生后</w:t>
      </w:r>
      <w:r>
        <w:rPr>
          <w:rFonts w:hint="eastAsia" w:ascii="仿宋" w:hAnsi="仿宋" w:eastAsia="仿宋" w:cs="仿宋"/>
          <w:color w:val="FF0000"/>
          <w:sz w:val="32"/>
          <w:szCs w:val="32"/>
        </w:rPr>
        <w:t>经</w:t>
      </w:r>
      <w:r>
        <w:rPr>
          <w:rFonts w:hint="eastAsia" w:ascii="仿宋" w:hAnsi="仿宋" w:eastAsia="仿宋" w:cs="仿宋"/>
          <w:sz w:val="32"/>
          <w:szCs w:val="32"/>
        </w:rPr>
        <w:t>取样检测：59采区5</w:t>
      </w:r>
      <w:r>
        <w:rPr>
          <w:rFonts w:hint="eastAsia" w:ascii="仿宋" w:hAnsi="仿宋" w:eastAsia="仿宋" w:cs="仿宋"/>
          <w:sz w:val="32"/>
          <w:szCs w:val="32"/>
          <w:vertAlign w:val="superscript"/>
        </w:rPr>
        <w:t>#</w:t>
      </w:r>
      <w:r>
        <w:rPr>
          <w:rFonts w:hint="eastAsia" w:ascii="仿宋" w:hAnsi="仿宋" w:eastAsia="仿宋" w:cs="仿宋"/>
          <w:sz w:val="32"/>
          <w:szCs w:val="32"/>
        </w:rPr>
        <w:t>联巷5</w:t>
      </w:r>
      <w:r>
        <w:rPr>
          <w:rFonts w:hint="eastAsia" w:ascii="仿宋" w:hAnsi="仿宋" w:eastAsia="仿宋" w:cs="仿宋"/>
          <w:sz w:val="32"/>
          <w:szCs w:val="32"/>
          <w:vertAlign w:val="superscript"/>
        </w:rPr>
        <w:t>-2</w:t>
      </w:r>
      <w:r>
        <w:rPr>
          <w:rFonts w:hint="eastAsia" w:ascii="仿宋" w:hAnsi="仿宋" w:eastAsia="仿宋" w:cs="仿宋"/>
          <w:sz w:val="32"/>
          <w:szCs w:val="32"/>
        </w:rPr>
        <w:t>煤层瓦斯放散初速度△p=29，煤坚固性系数f=0.21；59轨道下山下段掘进工作面5</w:t>
      </w:r>
      <w:r>
        <w:rPr>
          <w:rFonts w:hint="eastAsia" w:ascii="仿宋" w:hAnsi="仿宋" w:eastAsia="仿宋" w:cs="仿宋"/>
          <w:sz w:val="32"/>
          <w:szCs w:val="32"/>
          <w:vertAlign w:val="superscript"/>
        </w:rPr>
        <w:t>-2</w:t>
      </w:r>
      <w:r>
        <w:rPr>
          <w:rFonts w:hint="eastAsia" w:ascii="仿宋" w:hAnsi="仿宋" w:eastAsia="仿宋" w:cs="仿宋"/>
          <w:sz w:val="32"/>
          <w:szCs w:val="32"/>
        </w:rPr>
        <w:t>煤层瓦斯放散初速度△p=30，煤坚固性系数f=0.15，属于典型瓦斯突出煤层特征。</w:t>
      </w:r>
    </w:p>
    <w:p>
      <w:pPr>
        <w:pStyle w:val="2"/>
        <w:adjustRightInd w:val="0"/>
        <w:snapToGrid w:val="0"/>
        <w:spacing w:after="0" w:line="560" w:lineRule="exact"/>
        <w:ind w:firstLine="596"/>
        <w:rPr>
          <w:rFonts w:ascii="仿宋" w:hAnsi="仿宋" w:eastAsia="仿宋" w:cs="仿宋"/>
          <w:kern w:val="0"/>
          <w:szCs w:val="32"/>
          <w:lang w:eastAsia="zh-CN"/>
        </w:rPr>
      </w:pPr>
      <w:bookmarkStart w:id="44" w:name="_Toc56367570"/>
      <w:r>
        <w:rPr>
          <w:rFonts w:hint="eastAsia" w:ascii="仿宋" w:hAnsi="仿宋" w:eastAsia="仿宋" w:cs="仿宋"/>
          <w:b/>
          <w:kern w:val="0"/>
          <w:szCs w:val="32"/>
          <w:lang w:eastAsia="zh-CN"/>
        </w:rPr>
        <w:t>2、瓦斯超前排放钻孔技术措施</w:t>
      </w:r>
      <w:bookmarkEnd w:id="44"/>
      <w:r>
        <w:rPr>
          <w:rFonts w:hint="eastAsia" w:ascii="仿宋" w:hAnsi="仿宋" w:eastAsia="仿宋" w:cs="仿宋"/>
          <w:b/>
          <w:kern w:val="0"/>
          <w:szCs w:val="32"/>
          <w:lang w:eastAsia="zh-CN"/>
        </w:rPr>
        <w:t>针对性不强。</w:t>
      </w:r>
      <w:r>
        <w:rPr>
          <w:rFonts w:hint="eastAsia" w:ascii="仿宋" w:hAnsi="仿宋" w:eastAsia="仿宋" w:cs="仿宋"/>
          <w:kern w:val="0"/>
          <w:szCs w:val="32"/>
          <w:lang w:eastAsia="zh-CN"/>
        </w:rPr>
        <w:t>矿井制定了《59轨道下山（下段）掘进工作面瓦斯超前排放钻孔施工安全技术措施》，采取超前钻孔排放瓦斯，钻孔孔径75mm，钻孔深度10m，每循环施工8个钻孔，呈扇形布置，钻孔控制巷道断面轮廓线外2m。根据防突实践经验，这些措施能够一定程度降低掘进过程中瓦斯涌出，但从钻孔的密度、控制范围、排放时间等方面看，这些钻孔不具备实际的防突能力，不能有效的预防突出。</w:t>
      </w:r>
    </w:p>
    <w:p>
      <w:pPr>
        <w:pStyle w:val="44"/>
        <w:spacing w:line="600" w:lineRule="atLeast"/>
        <w:ind w:firstLine="596"/>
        <w:rPr>
          <w:rFonts w:ascii="仿宋" w:hAnsi="仿宋" w:eastAsia="仿宋" w:cs="仿宋"/>
          <w:sz w:val="32"/>
          <w:szCs w:val="32"/>
        </w:rPr>
      </w:pPr>
      <w:bookmarkStart w:id="45" w:name="_Toc56367571"/>
      <w:r>
        <w:rPr>
          <w:rFonts w:hint="eastAsia" w:ascii="仿宋" w:hAnsi="仿宋" w:eastAsia="仿宋" w:cs="仿宋"/>
          <w:b/>
          <w:sz w:val="32"/>
          <w:szCs w:val="32"/>
        </w:rPr>
        <w:t>3、违章冒险作业，综掘机割煤诱发突出</w:t>
      </w:r>
      <w:bookmarkEnd w:id="45"/>
      <w:r>
        <w:rPr>
          <w:rFonts w:hint="eastAsia" w:ascii="仿宋" w:hAnsi="仿宋" w:eastAsia="仿宋" w:cs="仿宋"/>
          <w:b/>
          <w:sz w:val="32"/>
          <w:szCs w:val="32"/>
        </w:rPr>
        <w:t>。</w:t>
      </w:r>
      <w:r>
        <w:rPr>
          <w:rFonts w:hint="eastAsia" w:ascii="仿宋" w:hAnsi="仿宋" w:eastAsia="仿宋" w:cs="仿宋"/>
          <w:sz w:val="32"/>
          <w:szCs w:val="32"/>
        </w:rPr>
        <w:t>10月24日至事故发生，工作面瓦斯超限频繁达16次之多，最大瓦斯浓度达2.2%，且伴随煤炮声、片帮等动力现象，未停产认真分析、查明原因。11月4日零点班工作面第一次瓦斯报警、断电后，工人将工作面瓦斯传感器移至进风巷，继续进行掘进作业。第二次工作面回风流瓦斯报警、断电后，仍未停止作业、撤出人员。八点班继续违章冒险作业，综掘机割底煤过程中诱发突出。</w:t>
      </w:r>
    </w:p>
    <w:p>
      <w:pPr>
        <w:adjustRightInd w:val="0"/>
        <w:snapToGrid w:val="0"/>
        <w:spacing w:line="600" w:lineRule="atLeast"/>
        <w:ind w:firstLine="594"/>
        <w:rPr>
          <w:rFonts w:ascii="黑体" w:hAnsi="黑体" w:eastAsia="黑体"/>
          <w:snapToGrid w:val="0"/>
          <w:kern w:val="0"/>
          <w:szCs w:val="32"/>
        </w:rPr>
      </w:pPr>
      <w:r>
        <w:rPr>
          <w:rFonts w:hint="eastAsia" w:ascii="黑体" w:hAnsi="黑体" w:eastAsia="黑体"/>
          <w:snapToGrid w:val="0"/>
          <w:kern w:val="0"/>
          <w:szCs w:val="32"/>
        </w:rPr>
        <w:t>（二）事故间接原因</w:t>
      </w:r>
    </w:p>
    <w:p>
      <w:pPr>
        <w:ind w:firstLine="596"/>
        <w:rPr>
          <w:rFonts w:ascii="仿宋_GB2312" w:eastAsia="仿宋_GB2312"/>
        </w:rPr>
      </w:pPr>
      <w:r>
        <w:rPr>
          <w:rFonts w:hint="eastAsia" w:ascii="仿宋" w:hAnsi="仿宋" w:eastAsia="仿宋" w:cs="仿宋"/>
          <w:b/>
          <w:kern w:val="0"/>
          <w:szCs w:val="32"/>
        </w:rPr>
        <w:t>1、煤矿违规组织掘进，主体责任不落实。</w:t>
      </w:r>
      <w:r>
        <w:rPr>
          <w:rFonts w:hint="eastAsia" w:ascii="仿宋" w:hAnsi="仿宋" w:eastAsia="仿宋" w:cs="仿宋"/>
          <w:kern w:val="0"/>
          <w:szCs w:val="32"/>
        </w:rPr>
        <w:t>未按规定进行煤与瓦斯突出危险性鉴定或者直接认定为突出煤层</w:t>
      </w:r>
      <w:r>
        <w:rPr>
          <w:rFonts w:ascii="仿宋" w:hAnsi="仿宋" w:eastAsia="仿宋" w:cs="仿宋"/>
          <w:kern w:val="0"/>
          <w:vertAlign w:val="superscript"/>
        </w:rPr>
        <w:footnoteReference w:id="0"/>
      </w:r>
      <w:r>
        <w:rPr>
          <w:rFonts w:hint="eastAsia" w:ascii="仿宋" w:hAnsi="仿宋" w:eastAsia="仿宋" w:cs="仿宋"/>
          <w:kern w:val="0"/>
          <w:szCs w:val="32"/>
        </w:rPr>
        <w:t>，也未按照突出煤层进行管理，仅采取施工钻孔的方式排放瓦斯进行防治。4月30日59回风下山水仓掘进期间发生了瓦斯动力现象，压出煤量30-40吨；10月24日以来，59轨道下山下段掘进工作面掘进过程中出现响煤炮、瓦斯忽大忽小、频繁超限、片帮等异常现象，未按照《煤矿安全规程》《防治煤与瓦斯突出细则》等规定立即停产撤人、分析并查明原因，未进行煤层突出危险性鉴定，未按规定对煤层瓦斯压力、瓦斯含量等参数进行测定，违章冒险组织掘进作业。</w:t>
      </w:r>
    </w:p>
    <w:p>
      <w:pPr>
        <w:ind w:firstLine="596"/>
        <w:rPr>
          <w:rFonts w:ascii="仿宋_GB2312" w:eastAsia="仿宋_GB2312"/>
        </w:rPr>
      </w:pPr>
      <w:r>
        <w:rPr>
          <w:rFonts w:hint="eastAsia" w:ascii="仿宋" w:hAnsi="仿宋" w:eastAsia="仿宋" w:cs="仿宋"/>
          <w:b/>
          <w:kern w:val="0"/>
          <w:szCs w:val="32"/>
        </w:rPr>
        <w:t>2、煤矿现场安全管理混乱。</w:t>
      </w:r>
      <w:r>
        <w:rPr>
          <w:rFonts w:hint="eastAsia" w:ascii="仿宋" w:hAnsi="仿宋" w:eastAsia="仿宋" w:cs="仿宋"/>
          <w:kern w:val="0"/>
          <w:szCs w:val="32"/>
        </w:rPr>
        <w:t>一是瓦斯超前排放钻孔技术措施现场执行不到位。10月29日59轨道下山下段掘进工作面施工瓦斯释放孔4个，31日施工瓦斯释放孔6个，瓦斯排放孔数未达到8个的要求，其中4个孔深度未达到10m的要求，孔径均为50mm,未达到75mm要求，事故当班工作面仅有3个钻孔，未按要求补打瓦斯释放孔；未按《59轨道下山（下段）掘进工作面瓦斯防治专项安全技术措施》要求，每班对工作面、回风流瓦斯检查不少于3次，实际检查2次。二是职工队伍不稳定，人员变动频繁，安全管理职责不能有效落实。2020年以来该矿总工程师、分管生产、安全的副矿长和采掘区队长等管理人员先后2次大范围更换，灾害治理、安全管理没有连续性；综掘队人员流动性大，频繁入职离职。</w:t>
      </w:r>
      <w:r>
        <w:rPr>
          <w:rFonts w:hint="eastAsia" w:ascii="仿宋" w:hAnsi="仿宋" w:eastAsia="仿宋" w:cs="仿宋"/>
          <w:bCs/>
          <w:kern w:val="0"/>
          <w:szCs w:val="32"/>
        </w:rPr>
        <w:t>三是</w:t>
      </w:r>
      <w:r>
        <w:rPr>
          <w:rFonts w:hint="eastAsia" w:ascii="仿宋_GB2312" w:eastAsia="仿宋_GB2312"/>
        </w:rPr>
        <w:t>未严格执行矿领导入井带班制度。安排不具备入井带班资格的生产技术科科长鲍春喜作为矿级领导入井带班</w:t>
      </w:r>
      <w:r>
        <w:rPr>
          <w:rFonts w:hint="eastAsia" w:ascii="仿宋" w:hAnsi="仿宋" w:eastAsia="仿宋" w:cs="仿宋"/>
          <w:kern w:val="0"/>
          <w:szCs w:val="32"/>
        </w:rPr>
        <w:t>。四是</w:t>
      </w:r>
      <w:r>
        <w:rPr>
          <w:rFonts w:hint="eastAsia" w:ascii="仿宋_GB2312" w:eastAsia="仿宋_GB2312"/>
        </w:rPr>
        <w:t>通风安全设施不可靠，采用简易木板风帐控制风流；自救器等通风、瓦斯仪器、仪表日常检测维护不到位；矿井未配备瓦斯标校标准气样，仅用遥控器对井下瓦斯传感器进行标校。</w:t>
      </w:r>
    </w:p>
    <w:p>
      <w:pPr>
        <w:ind w:firstLine="600" w:firstLineChars="202"/>
        <w:rPr>
          <w:rFonts w:ascii="仿宋" w:hAnsi="仿宋" w:eastAsia="仿宋" w:cs="仿宋"/>
          <w:kern w:val="0"/>
          <w:szCs w:val="32"/>
        </w:rPr>
      </w:pPr>
      <w:r>
        <w:rPr>
          <w:rFonts w:hint="eastAsia" w:ascii="仿宋" w:hAnsi="仿宋" w:eastAsia="仿宋" w:cs="仿宋"/>
          <w:b/>
          <w:bCs/>
          <w:kern w:val="0"/>
          <w:szCs w:val="32"/>
        </w:rPr>
        <w:t>3、现场</w:t>
      </w:r>
      <w:r>
        <w:rPr>
          <w:rFonts w:hint="eastAsia" w:ascii="仿宋" w:hAnsi="仿宋" w:eastAsia="仿宋" w:cs="仿宋"/>
          <w:b/>
          <w:kern w:val="0"/>
          <w:szCs w:val="32"/>
        </w:rPr>
        <w:t>安全监督检查缺失。</w:t>
      </w:r>
      <w:r>
        <w:rPr>
          <w:rFonts w:hint="eastAsia" w:ascii="仿宋" w:hAnsi="仿宋" w:eastAsia="仿宋" w:cs="仿宋"/>
          <w:kern w:val="0"/>
          <w:szCs w:val="32"/>
        </w:rPr>
        <w:t>一是</w:t>
      </w:r>
      <w:r>
        <w:rPr>
          <w:rFonts w:hint="eastAsia" w:ascii="仿宋_GB2312" w:eastAsia="仿宋_GB2312"/>
        </w:rPr>
        <w:t>带班矿领导违章指挥，工人违章作业。</w:t>
      </w:r>
      <w:r>
        <w:rPr>
          <w:rFonts w:hint="eastAsia" w:ascii="仿宋_GB2312" w:eastAsia="仿宋_GB2312" w:cstheme="minorBidi"/>
          <w:szCs w:val="32"/>
        </w:rPr>
        <w:t>事故前一班（11月4日零点班）</w:t>
      </w:r>
      <w:r>
        <w:rPr>
          <w:rFonts w:hint="eastAsia" w:ascii="仿宋_GB2312" w:eastAsia="仿宋_GB2312"/>
        </w:rPr>
        <w:t>工作面瓦斯超限报警后，带班矿领导杨小奇指使瓦检员王小刚“移探头”，王小刚站在综掘机机身上方手扶杨小奇肩膀摘下迎头甲烷传感器T</w:t>
      </w:r>
      <w:r>
        <w:rPr>
          <w:rFonts w:hint="eastAsia" w:ascii="仿宋_GB2312" w:eastAsia="仿宋_GB2312"/>
          <w:vertAlign w:val="subscript"/>
        </w:rPr>
        <w:t>1</w:t>
      </w:r>
      <w:r>
        <w:rPr>
          <w:rFonts w:hint="eastAsia" w:ascii="仿宋_GB2312" w:eastAsia="仿宋_GB2312"/>
        </w:rPr>
        <w:t>，并移撤到进风流中</w:t>
      </w:r>
      <w:r>
        <w:rPr>
          <w:rStyle w:val="23"/>
          <w:rFonts w:ascii="仿宋_GB2312" w:eastAsia="仿宋_GB2312"/>
        </w:rPr>
        <w:footnoteReference w:id="1"/>
      </w:r>
      <w:r>
        <w:rPr>
          <w:rFonts w:hint="eastAsia" w:ascii="仿宋_GB2312" w:eastAsia="仿宋_GB2312"/>
          <w:sz w:val="24"/>
        </w:rPr>
        <w:t>（巷口风筒下方）</w:t>
      </w:r>
      <w:r>
        <w:rPr>
          <w:rFonts w:hint="eastAsia" w:ascii="仿宋_GB2312" w:eastAsia="仿宋_GB2312"/>
        </w:rPr>
        <w:t>。</w:t>
      </w:r>
      <w:r>
        <w:rPr>
          <w:rFonts w:hint="eastAsia" w:ascii="仿宋" w:hAnsi="仿宋" w:eastAsia="仿宋" w:cs="仿宋"/>
          <w:kern w:val="0"/>
          <w:szCs w:val="32"/>
        </w:rPr>
        <w:t>二是现场安全监督检查缺失。11月4日零点班当班安检员杜文学对工作面瓦斯释放孔数不足、瓦斯频繁超限仍组织掘进和瓦检员王小刚的违章行为未加制止</w:t>
      </w:r>
      <w:r>
        <w:rPr>
          <w:rFonts w:ascii="仿宋" w:hAnsi="仿宋" w:eastAsia="仿宋" w:cs="仿宋"/>
          <w:kern w:val="0"/>
          <w:szCs w:val="32"/>
          <w:vertAlign w:val="superscript"/>
        </w:rPr>
        <w:footnoteReference w:id="2"/>
      </w:r>
      <w:r>
        <w:rPr>
          <w:rFonts w:hint="eastAsia" w:ascii="仿宋" w:hAnsi="仿宋" w:eastAsia="仿宋" w:cs="仿宋"/>
          <w:kern w:val="0"/>
          <w:szCs w:val="32"/>
        </w:rPr>
        <w:t>。三是</w:t>
      </w:r>
      <w:r>
        <w:rPr>
          <w:rFonts w:hint="eastAsia" w:ascii="仿宋" w:hAnsi="仿宋" w:eastAsia="仿宋" w:cs="仿宋"/>
          <w:bCs/>
          <w:kern w:val="0"/>
          <w:szCs w:val="32"/>
        </w:rPr>
        <w:t>安全技术措施审批把关不严，贯彻学习不到位。</w:t>
      </w:r>
      <w:r>
        <w:rPr>
          <w:rFonts w:hint="eastAsia" w:ascii="仿宋" w:hAnsi="仿宋" w:eastAsia="仿宋" w:cs="仿宋"/>
          <w:kern w:val="0"/>
          <w:szCs w:val="32"/>
        </w:rPr>
        <w:t>59轨道下山采用分段多头反向掘进，开口位置、掘进工艺等发生变化，未重新编制掘进工作面作业规程，未按规定编制59轨道下山掘进工作面地质说明书；编制的《59轨道下山（下段）掘进工作面瓦斯超前排放钻孔施工安全技术措施》到事故发生时，审批签字还未履行到位，未对综掘队职工贯彻学习，无贯彻学习签名记录。</w:t>
      </w:r>
    </w:p>
    <w:p>
      <w:pPr>
        <w:spacing w:line="560" w:lineRule="exact"/>
        <w:ind w:firstLine="596"/>
        <w:rPr>
          <w:rFonts w:ascii="仿宋_GB2312" w:eastAsia="仿宋_GB2312"/>
        </w:rPr>
      </w:pPr>
      <w:r>
        <w:rPr>
          <w:rFonts w:hint="eastAsia" w:ascii="仿宋" w:hAnsi="仿宋" w:eastAsia="仿宋" w:cs="仿宋"/>
          <w:b/>
          <w:kern w:val="0"/>
          <w:szCs w:val="32"/>
        </w:rPr>
        <w:t>4、煤矿专业技术力量薄弱，</w:t>
      </w:r>
      <w:r>
        <w:rPr>
          <w:rFonts w:hint="eastAsia" w:ascii="仿宋" w:hAnsi="仿宋" w:eastAsia="仿宋" w:cs="仿宋"/>
          <w:b/>
          <w:color w:val="000000" w:themeColor="text1"/>
          <w:kern w:val="0"/>
          <w:szCs w:val="32"/>
          <w14:textFill>
            <w14:solidFill>
              <w14:schemeClr w14:val="tx1"/>
            </w14:solidFill>
          </w14:textFill>
        </w:rPr>
        <w:t>特殊工种人员配备不足，</w:t>
      </w:r>
      <w:r>
        <w:rPr>
          <w:rFonts w:hint="eastAsia" w:ascii="仿宋" w:hAnsi="仿宋" w:eastAsia="仿宋" w:cs="仿宋"/>
          <w:b/>
          <w:kern w:val="0"/>
          <w:szCs w:val="32"/>
        </w:rPr>
        <w:t>安全教育培训不到位。</w:t>
      </w:r>
      <w:r>
        <w:rPr>
          <w:rFonts w:hint="eastAsia" w:ascii="仿宋" w:hAnsi="仿宋" w:eastAsia="仿宋" w:cs="仿宋"/>
          <w:kern w:val="0"/>
          <w:szCs w:val="32"/>
        </w:rPr>
        <w:t>一是安全技术和特种作业人员配备不足</w:t>
      </w:r>
      <w:r>
        <w:rPr>
          <w:rFonts w:ascii="仿宋" w:hAnsi="仿宋" w:eastAsia="仿宋" w:cs="仿宋"/>
          <w:kern w:val="0"/>
          <w:szCs w:val="32"/>
          <w:vertAlign w:val="superscript"/>
        </w:rPr>
        <w:footnoteReference w:id="3"/>
      </w:r>
      <w:r>
        <w:rPr>
          <w:rFonts w:hint="eastAsia" w:ascii="仿宋" w:hAnsi="仿宋" w:eastAsia="仿宋" w:cs="仿宋"/>
          <w:kern w:val="0"/>
          <w:szCs w:val="32"/>
        </w:rPr>
        <w:t>。</w:t>
      </w:r>
      <w:r>
        <w:rPr>
          <w:rFonts w:hint="eastAsia" w:ascii="仿宋_GB2312" w:eastAsia="仿宋_GB2312"/>
        </w:rPr>
        <w:t>通防科实际只有通防副总兼科长1人，安检科仅配备2名管理人员；生产技术科、机电科仅分别配备2名专业技术人员，综掘队未配备技术员；全矿仅配备安检员4人，瓦斯检查员3人，不符合《机械化改造安全设施设计》中安全定员要求。二是特种作业人员无证上岗作业，职工应急处置能力差，事故中当班工人不熟悉井下避灾路线。</w:t>
      </w:r>
    </w:p>
    <w:p>
      <w:pPr>
        <w:ind w:firstLine="596"/>
        <w:rPr>
          <w:rFonts w:ascii="仿宋" w:hAnsi="仿宋" w:eastAsia="仿宋" w:cs="仿宋"/>
          <w:kern w:val="0"/>
          <w:szCs w:val="32"/>
        </w:rPr>
      </w:pPr>
      <w:r>
        <w:rPr>
          <w:rFonts w:hint="eastAsia" w:ascii="仿宋" w:hAnsi="仿宋" w:eastAsia="仿宋" w:cs="仿宋"/>
          <w:b/>
          <w:kern w:val="0"/>
          <w:szCs w:val="32"/>
        </w:rPr>
        <w:t>5、蓄意瞒报瓦斯超限次数和原因。</w:t>
      </w:r>
      <w:r>
        <w:rPr>
          <w:rFonts w:hint="eastAsia" w:ascii="仿宋" w:hAnsi="仿宋" w:eastAsia="仿宋" w:cs="仿宋"/>
          <w:kern w:val="0"/>
          <w:szCs w:val="32"/>
        </w:rPr>
        <w:t>一是在掘进过程中出瓦斯动力现象后，未按规定及时向安全监管监察部门报告。二是经向该矿4名监控值班员调查取证，证实该矿安全监测监控系统瓦斯超限报警后，监控值班员首先向通防副总工程师兼通防科科长许晓年进行汇报，之后按照许晓年的具体指示上报或者不报。查阅该矿调度值班记录、监控值班记录和区煤炭安全监控中心值班台账，发现10月24日至11月3日，59轨道下山下段掘进工作面瓦斯超出报警值1%累计达16次，该矿向区煤炭监控中心仅上报5次，上报超限的原因分别是维修调试传感器、洒水降尘、接风筒、倒风机、延长监控线缆等；11月4日零点班59轨道下山下段掘进工作面超限报警2次，瓦检员均向监控值班员汇报是综掘机割煤引起瓦斯超限，而监控值班员按通风副总许晓年的意见，以“钻孔释放瓦斯引起”和“风将风筒吹脱节”为由向区煤炭监控中心上报超限原因，隐瞒瓦斯超限的真实情况。</w:t>
      </w:r>
    </w:p>
    <w:p>
      <w:pPr>
        <w:ind w:firstLine="596"/>
        <w:rPr>
          <w:rFonts w:ascii="仿宋" w:hAnsi="仿宋" w:eastAsia="仿宋" w:cs="仿宋"/>
          <w:kern w:val="0"/>
          <w:szCs w:val="32"/>
        </w:rPr>
      </w:pPr>
      <w:r>
        <w:rPr>
          <w:rFonts w:hint="eastAsia" w:ascii="仿宋" w:hAnsi="仿宋" w:eastAsia="仿宋" w:cs="仿宋"/>
          <w:b/>
          <w:kern w:val="0"/>
          <w:szCs w:val="32"/>
        </w:rPr>
        <w:t>6、监管部门履行煤矿安全监管职责不到位</w:t>
      </w:r>
      <w:r>
        <w:rPr>
          <w:rFonts w:hint="eastAsia" w:ascii="仿宋" w:hAnsi="仿宋" w:eastAsia="仿宋" w:cs="仿宋"/>
          <w:kern w:val="0"/>
          <w:szCs w:val="32"/>
        </w:rPr>
        <w:t>。一是对驻矿安监员履职监督不力。驻矿安监员未按规定及时报告所驻煤矿存在的重大安全隐患。10月26日至11月2日期间，驻矿安监员阮班贵和梁建平5次发现该矿瓦斯超限且施工瓦斯排放钻孔的异常情况，未专门向区煤炭局报告。直至11月2日下午，区煤炭局对该矿检查时，驻矿安监员梁建平才当面向安监股股长陈亮亮汇报了59轨道下山下段掘进工作面的瓦斯异常情况。二是对煤矿日常安全监管走形式。区煤炭局未按监管计划实施检查，10月份对该矿仅检查1次；11月2日对该矿检查时未发现事故工作面瓦斯频繁超限且施工瓦斯排放钻孔情况，接到驻矿安监员的瓦斯异常情况汇报后警觉性差，未果断处置并及时上报；未严格执行区政府针对乔子梁煤矿存在问题进行挂牌督办的工作要求，督促该矿落实整改措施及时消除事故隐患；对该矿10月24日以来59轨道下山下段掘进工作面瓦斯频繁超限等重大问题失察。</w:t>
      </w:r>
      <w:r>
        <w:rPr>
          <w:rFonts w:hint="eastAsia" w:ascii="仿宋" w:hAnsi="仿宋" w:eastAsia="仿宋" w:cs="仿宋"/>
          <w:b/>
          <w:kern w:val="0"/>
          <w:szCs w:val="32"/>
        </w:rPr>
        <w:t xml:space="preserve"> </w:t>
      </w:r>
      <w:r>
        <w:rPr>
          <w:rFonts w:hint="eastAsia" w:ascii="仿宋" w:hAnsi="仿宋" w:eastAsia="仿宋" w:cs="仿宋"/>
          <w:kern w:val="0"/>
          <w:szCs w:val="32"/>
        </w:rPr>
        <w:t>三是区煤炭监控中心未按规定处置瓦斯监控数据。自2019年12月开始建设，合同工期2个月，至今尚未建成投运，导致对辖区煤矿井下有害气体、人员定位、视频等数据信息实时监测、预警缺失。区煤炭监控中心负责人未及时认真审阅区煤炭安全监控中心值班台账记录（煤矿通过电话自行汇报的瓦斯超限报警情况）和驻矿安监员通过微信群每天上报的煤矿瓦斯监控数据，致使煤矿瓦斯超限的预警信息没有得到及时处置。</w:t>
      </w:r>
    </w:p>
    <w:p>
      <w:pPr>
        <w:pStyle w:val="24"/>
        <w:spacing w:line="560" w:lineRule="exact"/>
        <w:ind w:firstLine="596"/>
        <w:rPr>
          <w:rFonts w:ascii="仿宋" w:hAnsi="仿宋" w:eastAsia="仿宋" w:cs="仿宋"/>
          <w:color w:val="auto"/>
          <w:sz w:val="32"/>
          <w:szCs w:val="32"/>
        </w:rPr>
      </w:pPr>
      <w:r>
        <w:rPr>
          <w:rFonts w:hint="eastAsia" w:ascii="仿宋_GB2312" w:hAnsi="仿宋_GB2312" w:eastAsia="仿宋_GB2312" w:cs="仿宋_GB2312"/>
          <w:b/>
          <w:bCs/>
          <w:color w:val="auto"/>
          <w:kern w:val="2"/>
          <w:sz w:val="32"/>
          <w:szCs w:val="32"/>
        </w:rPr>
        <w:t>7、印台区政府对煤矿安全监管工作重视不够。</w:t>
      </w:r>
    </w:p>
    <w:p>
      <w:pPr>
        <w:spacing w:line="560" w:lineRule="exact"/>
        <w:ind w:firstLine="594"/>
        <w:rPr>
          <w:rFonts w:ascii="仿宋_GB2312" w:eastAsia="仿宋_GB2312"/>
          <w:szCs w:val="32"/>
        </w:rPr>
      </w:pPr>
      <w:r>
        <w:rPr>
          <w:rFonts w:hint="eastAsia" w:ascii="仿宋_GB2312" w:eastAsia="仿宋_GB2312"/>
          <w:szCs w:val="32"/>
        </w:rPr>
        <w:t>抓工作落实的手段不够有力、效果不明显，对区煤炭工业局督促指导不够，没有把安全生产监督管理责任传导到最基层，对煤炭工业局工作中存在的煤矿重大隐患挂牌督办落实不力、监控系统升级改造缓慢等各种问题失察。</w:t>
      </w:r>
    </w:p>
    <w:p>
      <w:pPr>
        <w:ind w:firstLine="596"/>
        <w:rPr>
          <w:rFonts w:ascii="仿宋" w:hAnsi="仿宋" w:eastAsia="仿宋" w:cs="仿宋"/>
          <w:b/>
          <w:bCs/>
          <w:szCs w:val="32"/>
        </w:rPr>
      </w:pPr>
      <w:r>
        <w:rPr>
          <w:rFonts w:hint="eastAsia" w:ascii="仿宋" w:hAnsi="仿宋" w:eastAsia="仿宋" w:cs="仿宋"/>
          <w:b/>
          <w:bCs/>
          <w:szCs w:val="32"/>
        </w:rPr>
        <w:t>（三）事故性质</w:t>
      </w:r>
    </w:p>
    <w:p>
      <w:pPr>
        <w:adjustRightInd w:val="0"/>
        <w:snapToGrid w:val="0"/>
        <w:ind w:firstLine="594"/>
        <w:rPr>
          <w:rFonts w:ascii="仿宋" w:hAnsi="仿宋" w:eastAsia="仿宋" w:cs="仿宋"/>
          <w:bCs/>
          <w:color w:val="000000" w:themeColor="text1"/>
          <w:szCs w:val="32"/>
          <w14:textFill>
            <w14:solidFill>
              <w14:schemeClr w14:val="tx1"/>
            </w14:solidFill>
          </w14:textFill>
        </w:rPr>
      </w:pPr>
      <w:r>
        <w:rPr>
          <w:rFonts w:hint="eastAsia" w:ascii="仿宋" w:hAnsi="仿宋" w:eastAsia="仿宋" w:cs="仿宋"/>
          <w:color w:val="000000" w:themeColor="text1"/>
          <w:szCs w:val="32"/>
          <w14:textFill>
            <w14:solidFill>
              <w14:schemeClr w14:val="tx1"/>
            </w14:solidFill>
          </w14:textFill>
        </w:rPr>
        <w:t>经调查认定，该起事故属生产安全责任事故</w:t>
      </w:r>
      <w:r>
        <w:rPr>
          <w:rFonts w:hint="eastAsia" w:ascii="仿宋" w:hAnsi="仿宋" w:eastAsia="仿宋" w:cs="仿宋"/>
          <w:bCs/>
          <w:color w:val="000000" w:themeColor="text1"/>
          <w:szCs w:val="32"/>
          <w14:textFill>
            <w14:solidFill>
              <w14:schemeClr w14:val="tx1"/>
            </w14:solidFill>
          </w14:textFill>
        </w:rPr>
        <w:t>。</w:t>
      </w:r>
    </w:p>
    <w:p>
      <w:pPr>
        <w:pBdr>
          <w:bottom w:val="single" w:color="FFFFFF" w:sz="4" w:space="7"/>
        </w:pBdr>
        <w:ind w:firstLine="596"/>
        <w:rPr>
          <w:rFonts w:ascii="仿宋" w:hAnsi="仿宋" w:eastAsia="仿宋" w:cs="仿宋"/>
          <w:b/>
          <w:bCs/>
          <w:szCs w:val="32"/>
        </w:rPr>
      </w:pPr>
      <w:r>
        <w:rPr>
          <w:rFonts w:hint="eastAsia" w:ascii="仿宋" w:hAnsi="仿宋" w:eastAsia="仿宋" w:cs="仿宋"/>
          <w:b/>
          <w:bCs/>
          <w:szCs w:val="32"/>
        </w:rPr>
        <w:t>九、事故责任的认定及对事故责任者的处理建议</w:t>
      </w:r>
    </w:p>
    <w:p>
      <w:pPr>
        <w:overflowPunct w:val="0"/>
        <w:ind w:firstLine="596"/>
        <w:rPr>
          <w:rFonts w:ascii="楷体_GB2312" w:hAnsi="仿宋" w:eastAsia="楷体_GB2312" w:cs="Courier New"/>
          <w:b/>
          <w:bCs/>
          <w:szCs w:val="32"/>
        </w:rPr>
      </w:pPr>
      <w:r>
        <w:rPr>
          <w:rFonts w:hint="eastAsia" w:ascii="楷体_GB2312" w:hAnsi="仿宋" w:eastAsia="楷体_GB2312" w:cs="Courier New"/>
          <w:b/>
          <w:bCs/>
          <w:szCs w:val="32"/>
        </w:rPr>
        <w:t>(一）不予追究人员（2人）</w:t>
      </w:r>
    </w:p>
    <w:p>
      <w:pPr>
        <w:spacing w:line="560" w:lineRule="exact"/>
        <w:ind w:firstLine="594"/>
        <w:rPr>
          <w:rFonts w:ascii="仿宋_GB2312" w:eastAsia="仿宋_GB2312"/>
          <w:b/>
          <w:szCs w:val="32"/>
        </w:rPr>
      </w:pPr>
      <w:r>
        <w:rPr>
          <w:rFonts w:ascii="仿宋_GB2312" w:eastAsia="仿宋_GB2312"/>
        </w:rPr>
        <w:t>1</w:t>
      </w:r>
      <w:r>
        <w:rPr>
          <w:rFonts w:hint="eastAsia" w:ascii="仿宋_GB2312" w:eastAsia="仿宋_GB2312"/>
        </w:rPr>
        <w:t>.</w:t>
      </w:r>
      <w:r>
        <w:rPr>
          <w:rFonts w:hint="eastAsia" w:ascii="仿宋_GB2312" w:eastAsia="仿宋_GB2312"/>
          <w:szCs w:val="32"/>
        </w:rPr>
        <w:t xml:space="preserve"> 许晓年，男，群众，1963年1月出生，乔子梁煤业有限公司通防副总工程师、通防科科长，</w:t>
      </w:r>
      <w:r>
        <w:rPr>
          <w:rFonts w:hint="eastAsia" w:ascii="仿宋_GB2312" w:eastAsia="仿宋_GB2312"/>
        </w:rPr>
        <w:t>负责“一通三防”“瓦斯监控”全面安全管理工作。未正确履行安全生产管理人员职责和带班矿领导职责，</w:t>
      </w:r>
      <w:r>
        <w:rPr>
          <w:rFonts w:hint="eastAsia" w:ascii="仿宋_GB2312" w:eastAsia="仿宋_GB2312"/>
          <w:szCs w:val="32"/>
        </w:rPr>
        <w:t>煤层出现瓦斯动力现象后未按规定采取相应措施，</w:t>
      </w:r>
      <w:r>
        <w:rPr>
          <w:rFonts w:hint="eastAsia" w:ascii="仿宋_GB2312" w:eastAsia="仿宋_GB2312"/>
        </w:rPr>
        <w:t>10月24日以来，59轨道下山下段掘进工作面出现煤壁片帮、煤炮声、瓦斯频繁超限等预兆后，未停产撤人、分析并查明原因、采取有效措施；作为事故当班带班矿领导，明知事故前一班（11月4日零点班）工作面出现煤炮声、瓦斯异常涌出等预兆后，仍冒险组织作业；授意监控值班员向上级监管部门假报告，隐瞒瓦斯超限真实情况，对本起事故的发生负有直接责任，鉴于在事故死亡，不予追究。</w:t>
      </w:r>
    </w:p>
    <w:p>
      <w:pPr>
        <w:overflowPunct w:val="0"/>
        <w:ind w:firstLine="594"/>
        <w:rPr>
          <w:rFonts w:ascii="仿宋_GB2312" w:eastAsia="仿宋_GB2312"/>
        </w:rPr>
      </w:pPr>
      <w:r>
        <w:rPr>
          <w:rFonts w:hint="eastAsia" w:ascii="仿宋_GB2312" w:eastAsia="仿宋_GB2312"/>
        </w:rPr>
        <w:t>2.</w:t>
      </w:r>
      <w:r>
        <w:rPr>
          <w:rFonts w:hint="eastAsia" w:ascii="仿宋_GB2312" w:eastAsia="仿宋_GB2312"/>
          <w:szCs w:val="32"/>
        </w:rPr>
        <w:t xml:space="preserve"> 程善军，男，群众，1978年3月出生，乔子梁煤业有限公司综掘队副队长兼任掘二队队长，</w:t>
      </w:r>
      <w:r>
        <w:rPr>
          <w:rFonts w:hint="eastAsia" w:ascii="仿宋_GB2312" w:eastAsia="仿宋_GB2312"/>
        </w:rPr>
        <w:t>负责当班现场安全管理和掘进二队全面管理工作。现场安全生产管理职责履行不到位，冒险组织掘进作业，对本次事故的发生负有直接责任，鉴于在事故死亡，不予追究。</w:t>
      </w:r>
    </w:p>
    <w:p>
      <w:pPr>
        <w:overflowPunct w:val="0"/>
        <w:ind w:firstLine="596"/>
        <w:rPr>
          <w:rFonts w:ascii="楷体_GB2312" w:hAnsi="仿宋" w:eastAsia="楷体_GB2312" w:cs="Courier New"/>
          <w:b/>
          <w:bCs/>
          <w:szCs w:val="32"/>
        </w:rPr>
      </w:pPr>
      <w:r>
        <w:rPr>
          <w:rFonts w:hint="eastAsia" w:ascii="楷体_GB2312" w:hAnsi="仿宋" w:eastAsia="楷体_GB2312" w:cs="Courier New"/>
          <w:b/>
          <w:bCs/>
          <w:szCs w:val="32"/>
        </w:rPr>
        <w:t>(二）建议移交司法处理人员（4人）</w:t>
      </w:r>
    </w:p>
    <w:p>
      <w:pPr>
        <w:spacing w:line="560" w:lineRule="exact"/>
        <w:ind w:firstLine="594"/>
        <w:rPr>
          <w:rFonts w:ascii="仿宋_GB2312" w:eastAsia="仿宋_GB2312"/>
          <w:szCs w:val="32"/>
        </w:rPr>
      </w:pPr>
      <w:r>
        <w:rPr>
          <w:rFonts w:hint="eastAsia" w:ascii="仿宋_GB2312" w:eastAsia="仿宋_GB2312"/>
          <w:szCs w:val="32"/>
        </w:rPr>
        <w:t>1. 张俊平，男，中共党员，1964年3月出生，大专学历，乔子梁煤矿总工程师，负责煤矿技术管理工作，分管通防科、生产技术科。未正确履行安全生产管理人员职责，掘进工作面施工瓦斯排放钻孔后仍然出现煤壁片帮、煤炮、瓦斯超限频繁等异常现象后，未停产撤人、并分析查明原因，未对《瓦斯排放钻孔施工措施》执行情况进行监督落实和分析评估，对事故的发生负主要责任，建议移交司法机关依法处理。</w:t>
      </w:r>
    </w:p>
    <w:p>
      <w:pPr>
        <w:spacing w:line="560" w:lineRule="exact"/>
        <w:ind w:firstLine="594"/>
        <w:rPr>
          <w:rFonts w:ascii="仿宋_GB2312" w:eastAsia="仿宋_GB2312"/>
          <w:szCs w:val="32"/>
        </w:rPr>
      </w:pPr>
      <w:r>
        <w:rPr>
          <w:rFonts w:hint="eastAsia" w:ascii="仿宋_GB2312" w:eastAsia="仿宋_GB2312"/>
          <w:szCs w:val="32"/>
        </w:rPr>
        <w:t xml:space="preserve"> 2.杨小奇，男，群众，1966年6月出生，中专学历，乔子梁煤矿生产副矿长，负责煤矿掘进并协调全矿井安全生产管理工作，分管综合调度室、采掘区队生产部署及生产辅助单位。未正确履行安全生产管理人员职责，10月24日以来，事故工作面出现突出预兆后，未停止作业、分析并查明原因，及时消除事故隐患；事故前一班（11月4日零点班）工作面出现煤炮声、瓦斯异常涌出等预兆后，作为带班矿领导，</w:t>
      </w:r>
      <w:r>
        <w:rPr>
          <w:rFonts w:hint="eastAsia" w:ascii="仿宋_GB2312" w:eastAsia="仿宋_GB2312"/>
        </w:rPr>
        <w:t>违章指挥瓦检员王小刚移撤甲烷传感器，冒险继续组织掘进作业，</w:t>
      </w:r>
      <w:r>
        <w:rPr>
          <w:rFonts w:hint="eastAsia" w:ascii="仿宋_GB2312" w:eastAsia="仿宋_GB2312"/>
          <w:szCs w:val="32"/>
        </w:rPr>
        <w:t>对事故的发生负主要责任，建议移交司法机关依法处理。</w:t>
      </w:r>
    </w:p>
    <w:p>
      <w:pPr>
        <w:spacing w:line="560" w:lineRule="exact"/>
        <w:ind w:firstLine="594"/>
        <w:rPr>
          <w:rFonts w:ascii="仿宋_GB2312" w:eastAsia="仿宋_GB2312"/>
        </w:rPr>
      </w:pPr>
      <w:r>
        <w:rPr>
          <w:rFonts w:hint="eastAsia" w:ascii="仿宋_GB2312" w:eastAsia="仿宋_GB2312"/>
          <w:szCs w:val="32"/>
        </w:rPr>
        <w:t>3. 张应忠，男，中共党员，1971年10月出生，本科学历，乔子梁煤矿矿长，全面负责煤矿安全生产工作。未正确履行主要负责人安全生产职责，煤矿安全管理混乱，违规冒险组织作业，对事故的发生负主要责任，建议移交司法机关依法处理。</w:t>
      </w:r>
    </w:p>
    <w:p>
      <w:pPr>
        <w:spacing w:line="560" w:lineRule="exact"/>
        <w:ind w:firstLine="594"/>
        <w:rPr>
          <w:rFonts w:ascii="仿宋_GB2312" w:eastAsia="仿宋_GB2312"/>
          <w:szCs w:val="32"/>
        </w:rPr>
      </w:pPr>
      <w:r>
        <w:rPr>
          <w:rFonts w:hint="eastAsia" w:ascii="仿宋_GB2312" w:eastAsia="仿宋_GB2312"/>
          <w:szCs w:val="32"/>
        </w:rPr>
        <w:t>4.郝彬，男，中共党员，1967年3月出生，中专学历，煤矿安全副矿长，负责矿井安全管理和安全培训工作，分管安检科。生产安全事故隐患排查治理不到位，工作面施工瓦斯排放钻孔后仍然出现煤壁片帮、煤炮、瓦斯超限频繁等预兆，未停产撤人、并分析查明原因；现场安全监督检查不到位，未制止违规组织掘进作业，未对《瓦斯排放钻孔施工措施》执行情况进行监督落实；对职工安全培训教育不到位，特种作业人员未持证上岗，对事故的发生负主要责任，建议移交司法机关依法处理。</w:t>
      </w:r>
    </w:p>
    <w:p>
      <w:pPr>
        <w:ind w:firstLine="496" w:firstLineChars="167"/>
        <w:rPr>
          <w:rFonts w:ascii="仿宋_GB2312" w:eastAsia="仿宋_GB2312" w:cs="Courier New" w:hAnsiTheme="minorEastAsia"/>
          <w:b/>
          <w:szCs w:val="32"/>
        </w:rPr>
      </w:pPr>
      <w:r>
        <w:rPr>
          <w:rFonts w:hint="eastAsia" w:ascii="仿宋_GB2312" w:eastAsia="仿宋_GB2312" w:cs="Courier New" w:hAnsiTheme="minorEastAsia"/>
          <w:b/>
          <w:szCs w:val="32"/>
        </w:rPr>
        <w:t>（三）建议给予党纪处分及行政处罚的企业人员（7人）</w:t>
      </w:r>
    </w:p>
    <w:p>
      <w:pPr>
        <w:spacing w:line="560" w:lineRule="exact"/>
        <w:ind w:firstLine="594"/>
      </w:pPr>
      <w:r>
        <w:rPr>
          <w:rFonts w:hint="eastAsia" w:ascii="仿宋_GB2312" w:eastAsia="仿宋_GB2312"/>
          <w:szCs w:val="32"/>
        </w:rPr>
        <w:t>1.张国明，男，中共党员，1958年12月出生，小学文化，乔子梁煤矿法定代表人、董事长。未认真履行安全生产管理职责，对乔子梁煤矿安全生产工作疏于监督管理，对事故的发生负重要责任，依据《中国共产党纪律处分条例》第一百二十一条规定，建议给予党内严重警告处分；依据《生产安全事故罚款规定》第十八条第二项规定，处上一年年收入（按2019年陕西省私营企业职工平均工资43477元的5倍计算）40%的罚款，罚款86954元。</w:t>
      </w:r>
    </w:p>
    <w:p>
      <w:pPr>
        <w:overflowPunct w:val="0"/>
        <w:ind w:firstLine="594"/>
        <w:rPr>
          <w:rFonts w:ascii="仿宋_GB2312" w:eastAsia="仿宋_GB2312"/>
        </w:rPr>
      </w:pPr>
      <w:r>
        <w:rPr>
          <w:rFonts w:hint="eastAsia" w:ascii="仿宋_GB2312" w:eastAsia="仿宋_GB2312"/>
        </w:rPr>
        <w:t>2.陈洪平，男，群众，1973年10月出生，初中文化，乔子梁煤矿综掘队队长，负责综掘队全面安全生产管理工作。现场安全生产管理职责履行不到位，10月24日以来，59轨道下山下段掘进工作面出现煤壁片帮、煤炮声、瓦斯频繁超限等预兆后，未停产撤人，继续冒险组织掘进作业；安排未取得特殊工种资格证的综掘机司机上岗作业；对职工安全培训教育不到位。对本次事故的发生负有重要责任，</w:t>
      </w:r>
      <w:r>
        <w:rPr>
          <w:rFonts w:hint="eastAsia" w:ascii="仿宋_GB2312" w:hAnsi="仿宋_GB2312" w:eastAsia="仿宋_GB2312" w:cs="仿宋_GB2312"/>
          <w:szCs w:val="32"/>
        </w:rPr>
        <w:t>依据《中华人民共和国劳动合同法》第三十九条之规定，建议解除劳动合同</w:t>
      </w:r>
      <w:r>
        <w:rPr>
          <w:rFonts w:hint="eastAsia" w:ascii="仿宋_GB2312" w:eastAsia="仿宋_GB2312"/>
        </w:rPr>
        <w:t>。</w:t>
      </w:r>
    </w:p>
    <w:p>
      <w:pPr>
        <w:ind w:firstLine="594"/>
        <w:rPr>
          <w:rFonts w:ascii="仿宋_GB2312" w:hAnsi="仿宋_GB2312" w:eastAsia="仿宋_GB2312" w:cs="仿宋_GB2312"/>
          <w:szCs w:val="32"/>
        </w:rPr>
      </w:pPr>
      <w:r>
        <w:rPr>
          <w:rFonts w:hint="eastAsia" w:ascii="仿宋_GB2312" w:eastAsia="仿宋_GB2312" w:cs="仿宋_GB2312" w:hAnsiTheme="minorEastAsia"/>
          <w:szCs w:val="32"/>
        </w:rPr>
        <w:t>3.</w:t>
      </w:r>
      <w:r>
        <w:rPr>
          <w:rFonts w:hint="eastAsia" w:ascii="仿宋_GB2312" w:hAnsi="仿宋_GB2312" w:eastAsia="仿宋_GB2312" w:cs="仿宋_GB2312"/>
          <w:szCs w:val="32"/>
        </w:rPr>
        <w:t>李香虎，男，群众，</w:t>
      </w:r>
      <w:r>
        <w:rPr>
          <w:rFonts w:hint="eastAsia" w:ascii="仿宋_GB2312" w:eastAsia="仿宋_GB2312"/>
        </w:rPr>
        <w:t>1967年11月出生，小学文化，乔子梁煤矿</w:t>
      </w:r>
      <w:r>
        <w:rPr>
          <w:rFonts w:hint="eastAsia" w:ascii="仿宋_GB2312" w:hAnsi="仿宋_GB2312" w:eastAsia="仿宋_GB2312" w:cs="仿宋_GB2312"/>
          <w:szCs w:val="32"/>
        </w:rPr>
        <w:t>安检科科长，负责安检科全面安全管理工作。</w:t>
      </w:r>
      <w:r>
        <w:rPr>
          <w:rFonts w:hint="eastAsia" w:ascii="仿宋_GB2312" w:eastAsia="仿宋_GB2312"/>
        </w:rPr>
        <w:t>生产安全事故隐患排查不到位，工作面施工瓦斯排放钻孔后仍然出现煤壁片帮、煤炮、瓦斯超限频繁等预兆，未停产撤人、分析并查明原因；对《瓦斯排放钻孔施工措施》执行情况监督不到位；对</w:t>
      </w:r>
      <w:r>
        <w:rPr>
          <w:rFonts w:hint="eastAsia" w:ascii="仿宋_GB2312" w:hAnsi="仿宋_GB2312" w:eastAsia="仿宋_GB2312" w:cs="仿宋_GB2312"/>
          <w:szCs w:val="32"/>
        </w:rPr>
        <w:t>特种作业人员未持证上岗监督检查不到位，</w:t>
      </w:r>
      <w:r>
        <w:rPr>
          <w:rFonts w:hint="eastAsia" w:ascii="仿宋_GB2312" w:eastAsia="仿宋_GB2312"/>
        </w:rPr>
        <w:t>对本次事故的发生</w:t>
      </w:r>
      <w:r>
        <w:rPr>
          <w:rFonts w:hint="eastAsia" w:ascii="仿宋_GB2312" w:hAnsi="仿宋_GB2312" w:eastAsia="仿宋_GB2312" w:cs="仿宋_GB2312"/>
          <w:szCs w:val="32"/>
        </w:rPr>
        <w:t>负有重要责任，依据《中华人民共和国劳动合同法》第三十九条之规定，建议解除劳动合同</w:t>
      </w:r>
      <w:r>
        <w:rPr>
          <w:rStyle w:val="23"/>
          <w:rFonts w:ascii="仿宋_GB2312" w:hAnsi="仿宋_GB2312" w:eastAsia="仿宋_GB2312" w:cs="仿宋_GB2312"/>
          <w:szCs w:val="32"/>
        </w:rPr>
        <w:footnoteReference w:id="4"/>
      </w:r>
    </w:p>
    <w:p>
      <w:pPr>
        <w:ind w:firstLine="594"/>
        <w:rPr>
          <w:rFonts w:ascii="仿宋_GB2312" w:eastAsia="仿宋_GB2312" w:cs="仿宋_GB2312" w:hAnsiTheme="minorEastAsia"/>
          <w:szCs w:val="32"/>
        </w:rPr>
      </w:pPr>
      <w:r>
        <w:rPr>
          <w:rFonts w:hint="eastAsia" w:ascii="仿宋_GB2312" w:hAnsi="宋体" w:eastAsia="仿宋_GB2312" w:cs="黑体"/>
          <w:szCs w:val="32"/>
        </w:rPr>
        <w:t>4.王小刚，</w:t>
      </w:r>
      <w:r>
        <w:rPr>
          <w:rFonts w:hint="eastAsia" w:ascii="仿宋_GB2312" w:hAnsi="仿宋_GB2312" w:eastAsia="仿宋_GB2312" w:cs="仿宋_GB2312"/>
          <w:szCs w:val="32"/>
        </w:rPr>
        <w:t>男，群众，1966年10月出生，高中文化，</w:t>
      </w:r>
      <w:r>
        <w:rPr>
          <w:rFonts w:hint="eastAsia" w:ascii="仿宋_GB2312" w:eastAsia="仿宋_GB2312" w:cs="仿宋_GB2312" w:hAnsiTheme="minorEastAsia"/>
          <w:szCs w:val="32"/>
        </w:rPr>
        <w:t>乔子梁煤矿瓦检员（零点班）,负责井下瓦斯检查工作 。工作面瓦斯超限后</w:t>
      </w:r>
      <w:r>
        <w:rPr>
          <w:rFonts w:hint="eastAsia" w:ascii="仿宋_GB2312" w:eastAsia="仿宋_GB2312"/>
        </w:rPr>
        <w:t>，受人指使违章将甲烷传感器从迎头移撤到进风流中，</w:t>
      </w:r>
      <w:r>
        <w:rPr>
          <w:rFonts w:hint="eastAsia" w:ascii="仿宋_GB2312" w:hAnsi="仿宋_GB2312" w:eastAsia="仿宋_GB2312" w:cs="仿宋_GB2312"/>
          <w:szCs w:val="32"/>
        </w:rPr>
        <w:t>对事故发生负有重要责任</w:t>
      </w:r>
      <w:r>
        <w:rPr>
          <w:rFonts w:hint="eastAsia" w:ascii="仿宋_GB2312" w:eastAsia="仿宋_GB2312" w:cs="仿宋_GB2312" w:hAnsiTheme="minorEastAsia"/>
          <w:szCs w:val="32"/>
        </w:rPr>
        <w:t>。</w:t>
      </w:r>
      <w:r>
        <w:rPr>
          <w:rFonts w:hint="eastAsia" w:ascii="仿宋_GB2312" w:hAnsi="仿宋_GB2312" w:eastAsia="仿宋_GB2312" w:cs="仿宋_GB2312"/>
          <w:szCs w:val="32"/>
        </w:rPr>
        <w:t>依据《中华人民共和国劳动合同法》第三十九条之规定，建议解除劳动合同；</w:t>
      </w:r>
      <w:r>
        <w:rPr>
          <w:rFonts w:hint="eastAsia" w:ascii="仿宋_GB2312" w:eastAsia="仿宋_GB2312" w:cs="仿宋_GB2312" w:hAnsiTheme="minorEastAsia"/>
          <w:szCs w:val="32"/>
        </w:rPr>
        <w:t>依据《安全生产违法行为行政处罚办法》第四十五条规定，建议给予警告，并处罚款5000元；</w:t>
      </w:r>
      <w:r>
        <w:rPr>
          <w:rFonts w:hint="eastAsia" w:ascii="仿宋_GB2312" w:hAnsi="仿宋_GB2312" w:eastAsia="仿宋_GB2312" w:cs="仿宋_GB2312"/>
          <w:szCs w:val="32"/>
        </w:rPr>
        <w:t>依据《生产安全事故报告和调查处理条例》第四十条</w:t>
      </w:r>
      <w:r>
        <w:rPr>
          <w:rFonts w:hint="eastAsia" w:ascii="仿宋_GB2312" w:hAnsi="仿宋_GB2312" w:eastAsia="仿宋_GB2312" w:cs="仿宋_GB2312"/>
          <w:szCs w:val="32"/>
          <w:vertAlign w:val="superscript"/>
        </w:rPr>
        <w:footnoteReference w:id="5"/>
      </w:r>
      <w:r>
        <w:rPr>
          <w:rFonts w:hint="eastAsia" w:ascii="仿宋_GB2312" w:hAnsi="仿宋_GB2312" w:eastAsia="仿宋_GB2312" w:cs="仿宋_GB2312"/>
          <w:szCs w:val="32"/>
        </w:rPr>
        <w:t>之规定，建议由考核发证部门撤销其特种作业人员资格证（证书编号：610203196610140037）</w:t>
      </w:r>
      <w:r>
        <w:rPr>
          <w:rFonts w:hint="eastAsia" w:ascii="仿宋_GB2312" w:eastAsia="仿宋_GB2312" w:cs="仿宋_GB2312" w:hAnsiTheme="minorEastAsia"/>
          <w:szCs w:val="32"/>
        </w:rPr>
        <w:t>。</w:t>
      </w:r>
    </w:p>
    <w:p>
      <w:pPr>
        <w:spacing w:line="560" w:lineRule="exact"/>
        <w:ind w:firstLine="594"/>
        <w:rPr>
          <w:rFonts w:ascii="仿宋_GB2312" w:eastAsia="仿宋_GB2312" w:cs="仿宋_GB2312" w:hAnsiTheme="minorEastAsia"/>
          <w:szCs w:val="32"/>
        </w:rPr>
      </w:pPr>
      <w:r>
        <w:rPr>
          <w:rFonts w:hint="eastAsia" w:ascii="仿宋_GB2312" w:eastAsia="仿宋_GB2312" w:cs="仿宋_GB2312" w:hAnsiTheme="minorEastAsia"/>
          <w:szCs w:val="32"/>
        </w:rPr>
        <w:t>5. 王顺莲，女，群众，1969年12月出生，高中文化，乔子梁煤矿监控室值班员，负责安全监控监测预警工作。岗位职责履行不到位，</w:t>
      </w:r>
      <w:r>
        <w:rPr>
          <w:rFonts w:hint="eastAsia" w:ascii="仿宋_GB2312" w:eastAsia="仿宋_GB2312"/>
        </w:rPr>
        <w:t>受人指使向上级监管部门假报告，隐瞒瓦斯超限真实情况，</w:t>
      </w:r>
      <w:r>
        <w:rPr>
          <w:rFonts w:hint="eastAsia" w:ascii="仿宋_GB2312" w:eastAsia="仿宋_GB2312" w:cs="仿宋_GB2312" w:hAnsiTheme="minorEastAsia"/>
          <w:szCs w:val="32"/>
        </w:rPr>
        <w:t>对事故发生负重要责任。依据</w:t>
      </w:r>
      <w:r>
        <w:rPr>
          <w:rFonts w:hint="eastAsia" w:ascii="仿宋_GB2312" w:hAnsi="仿宋_GB2312" w:eastAsia="仿宋_GB2312" w:cs="仿宋_GB2312"/>
          <w:szCs w:val="32"/>
        </w:rPr>
        <w:t>《中华人民共和国劳动合同法》第三十九条之规定，建议解除劳动合同；</w:t>
      </w:r>
      <w:r>
        <w:rPr>
          <w:rFonts w:hint="eastAsia" w:ascii="仿宋_GB2312" w:eastAsia="仿宋_GB2312" w:cs="仿宋_GB2312" w:hAnsiTheme="minorEastAsia"/>
          <w:szCs w:val="32"/>
        </w:rPr>
        <w:t>依据《生产安全事故报告和调查处理条例》第四十条，</w:t>
      </w:r>
      <w:r>
        <w:rPr>
          <w:rFonts w:hint="eastAsia" w:ascii="仿宋_GB2312" w:hAnsi="仿宋_GB2312" w:eastAsia="仿宋_GB2312" w:cs="仿宋_GB2312"/>
          <w:szCs w:val="32"/>
        </w:rPr>
        <w:t>建议由考核发证部门撤销其特种作业人员资格证（证书编号：610202196912263626）</w:t>
      </w:r>
      <w:r>
        <w:rPr>
          <w:rFonts w:hint="eastAsia" w:ascii="仿宋_GB2312" w:eastAsia="仿宋_GB2312" w:cs="仿宋_GB2312" w:hAnsiTheme="minorEastAsia"/>
          <w:szCs w:val="32"/>
        </w:rPr>
        <w:t>。</w:t>
      </w:r>
    </w:p>
    <w:p>
      <w:pPr>
        <w:spacing w:line="560" w:lineRule="exact"/>
        <w:ind w:firstLine="594"/>
        <w:rPr>
          <w:rFonts w:ascii="仿宋_GB2312" w:eastAsia="仿宋_GB2312" w:cs="仿宋_GB2312" w:hAnsiTheme="minorEastAsia"/>
          <w:szCs w:val="32"/>
        </w:rPr>
      </w:pPr>
      <w:r>
        <w:rPr>
          <w:rFonts w:hint="eastAsia" w:ascii="仿宋_GB2312" w:hAnsi="宋体" w:eastAsia="仿宋_GB2312" w:cs="黑体"/>
          <w:szCs w:val="32"/>
        </w:rPr>
        <w:t>6.</w:t>
      </w:r>
      <w:r>
        <w:rPr>
          <w:rFonts w:hint="eastAsia" w:ascii="仿宋_GB2312" w:eastAsia="仿宋_GB2312" w:cs="仿宋_GB2312" w:hAnsiTheme="minorEastAsia"/>
          <w:szCs w:val="32"/>
        </w:rPr>
        <w:t xml:space="preserve"> 杜文学，</w:t>
      </w:r>
      <w:r>
        <w:rPr>
          <w:rFonts w:hint="eastAsia" w:ascii="仿宋_GB2312" w:hAnsi="仿宋_GB2312" w:eastAsia="仿宋_GB2312" w:cs="仿宋_GB2312"/>
          <w:szCs w:val="32"/>
        </w:rPr>
        <w:t>男，群众，1971年9月出生，高中文化，</w:t>
      </w:r>
      <w:r>
        <w:rPr>
          <w:rFonts w:hint="eastAsia" w:ascii="仿宋_GB2312" w:eastAsia="仿宋_GB2312" w:cs="仿宋_GB2312" w:hAnsiTheme="minorEastAsia"/>
          <w:szCs w:val="32"/>
        </w:rPr>
        <w:t>乔子梁煤矿安检员（零点班）, 负责井下现场安全监督检查。对</w:t>
      </w:r>
      <w:r>
        <w:rPr>
          <w:rFonts w:hint="eastAsia" w:ascii="仿宋_GB2312" w:hAnsi="仿宋_GB2312" w:eastAsia="仿宋_GB2312" w:cs="仿宋_GB2312"/>
          <w:szCs w:val="32"/>
        </w:rPr>
        <w:t>存在瓦斯频繁超限等异常现象，未制止工人继续作业，未停产撤人，对事故发生有重要责任；</w:t>
      </w:r>
      <w:r>
        <w:rPr>
          <w:rFonts w:hint="eastAsia" w:ascii="仿宋_GB2312" w:eastAsia="仿宋_GB2312" w:cs="仿宋_GB2312" w:hAnsiTheme="minorEastAsia"/>
          <w:szCs w:val="32"/>
        </w:rPr>
        <w:t>对现场作业人员移撤甲烷传感器违章行为未加制止。依据《安全生产违法行为行政处罚办法》第四十五条规定，建议给予警告，并处罚款4000元；</w:t>
      </w:r>
      <w:r>
        <w:rPr>
          <w:rFonts w:hint="eastAsia" w:ascii="仿宋_GB2312" w:hAnsi="仿宋_GB2312" w:eastAsia="仿宋_GB2312" w:cs="仿宋_GB2312"/>
          <w:szCs w:val="32"/>
        </w:rPr>
        <w:t>依据《生产安全事故报告和调查处理条例》第四十条之规定，建议由考核发证部门撤销其特种作业人员资格证（证书编号：610203197109055036）</w:t>
      </w:r>
      <w:r>
        <w:rPr>
          <w:rFonts w:hint="eastAsia" w:ascii="仿宋_GB2312" w:eastAsia="仿宋_GB2312" w:cs="仿宋_GB2312" w:hAnsiTheme="minorEastAsia"/>
          <w:szCs w:val="32"/>
        </w:rPr>
        <w:t>。</w:t>
      </w:r>
    </w:p>
    <w:p>
      <w:pPr>
        <w:ind w:firstLine="594"/>
        <w:rPr>
          <w:rFonts w:ascii="仿宋_GB2312" w:eastAsia="仿宋_GB2312" w:cs="仿宋_GB2312" w:hAnsiTheme="minorEastAsia"/>
          <w:szCs w:val="32"/>
        </w:rPr>
      </w:pPr>
      <w:r>
        <w:rPr>
          <w:rFonts w:hint="eastAsia" w:ascii="仿宋_GB2312" w:hAnsi="宋体" w:eastAsia="仿宋_GB2312" w:cs="黑体"/>
          <w:szCs w:val="32"/>
        </w:rPr>
        <w:t>7. 徐玉怀，</w:t>
      </w:r>
      <w:r>
        <w:rPr>
          <w:rFonts w:hint="eastAsia" w:ascii="仿宋_GB2312" w:hAnsi="仿宋_GB2312" w:eastAsia="仿宋_GB2312" w:cs="仿宋_GB2312"/>
          <w:szCs w:val="32"/>
        </w:rPr>
        <w:t>男，群众，1973年2月出生，高中文化，</w:t>
      </w:r>
      <w:r>
        <w:rPr>
          <w:rFonts w:hint="eastAsia" w:ascii="仿宋_GB2312" w:eastAsia="仿宋_GB2312" w:cs="仿宋_GB2312" w:hAnsiTheme="minorEastAsia"/>
          <w:szCs w:val="32"/>
        </w:rPr>
        <w:t>乔子梁煤矿安检员,负责井下现场安全监督检查。未取得特种作业资格证上岗作业，工作期间对现场作业人员违章作业行为未加制止，</w:t>
      </w:r>
      <w:r>
        <w:rPr>
          <w:rFonts w:hint="eastAsia" w:ascii="仿宋_GB2312" w:hAnsi="仿宋_GB2312" w:eastAsia="仿宋_GB2312" w:cs="仿宋_GB2312"/>
          <w:szCs w:val="32"/>
        </w:rPr>
        <w:t>对事故发生负有重要责任，</w:t>
      </w:r>
      <w:r>
        <w:rPr>
          <w:rFonts w:hint="eastAsia" w:ascii="仿宋_GB2312" w:eastAsia="仿宋_GB2312" w:cs="仿宋_GB2312" w:hAnsiTheme="minorEastAsia"/>
          <w:szCs w:val="32"/>
        </w:rPr>
        <w:t>依据《安全生产违法行为行政处罚办法》第四十五条规定，建议给予警告，并处罚款6000元。</w:t>
      </w:r>
    </w:p>
    <w:p>
      <w:pPr>
        <w:ind w:firstLine="596"/>
        <w:rPr>
          <w:rFonts w:ascii="仿宋_GB2312" w:eastAsia="仿宋_GB2312" w:hAnsiTheme="minorEastAsia"/>
          <w:b/>
          <w:bCs/>
          <w:szCs w:val="32"/>
        </w:rPr>
      </w:pPr>
      <w:r>
        <w:rPr>
          <w:rFonts w:hint="eastAsia" w:ascii="仿宋_GB2312" w:eastAsia="仿宋_GB2312" w:hAnsiTheme="minorEastAsia"/>
          <w:b/>
          <w:bCs/>
          <w:szCs w:val="32"/>
        </w:rPr>
        <w:t>（四）给予党纪、政务处理的公职人员（12人）</w:t>
      </w:r>
    </w:p>
    <w:p>
      <w:pPr>
        <w:spacing w:line="560" w:lineRule="exact"/>
        <w:ind w:firstLine="594"/>
        <w:rPr>
          <w:rFonts w:ascii="仿宋_GB2312" w:eastAsia="仿宋_GB2312"/>
          <w:szCs w:val="32"/>
        </w:rPr>
      </w:pPr>
      <w:r>
        <w:rPr>
          <w:rFonts w:hint="eastAsia" w:ascii="仿宋_GB2312" w:eastAsia="仿宋_GB2312"/>
          <w:szCs w:val="32"/>
        </w:rPr>
        <w:t>1.阮班贵，男，汉族，群众，1976年9月出生，高中文化，驻矿安全监督员，聘用人员（编外长期聘用），2018年9月起负责乔子梁煤矿安全监管工作。未认真履行报告和监督煤矿报告重大安全隐患职责；未按规定监督煤矿对各级监管监察部门查出的问题进行整改，对停工停产的措施落实不到位；监督煤矿开展安全培训不到位，对特种作业人员无证上岗情况监督不到位；未发现4月30日施工59回风下山水仓过程中，发生工作面煤体压出、瓦斯超限、综掘机和人员被埋的动力现象，对事故的发生负直接责任。依据《中华人民共和国公职人员政务处分法》第二十条、第三十九条第（二）项之规定，建议解除其聘用合同。</w:t>
      </w:r>
    </w:p>
    <w:p>
      <w:pPr>
        <w:spacing w:line="560" w:lineRule="exact"/>
        <w:ind w:firstLine="594"/>
        <w:rPr>
          <w:rFonts w:ascii="仿宋_GB2312" w:eastAsia="仿宋_GB2312"/>
          <w:szCs w:val="32"/>
        </w:rPr>
      </w:pPr>
      <w:r>
        <w:rPr>
          <w:rFonts w:hint="eastAsia" w:ascii="仿宋_GB2312" w:eastAsia="仿宋_GB2312"/>
          <w:szCs w:val="32"/>
        </w:rPr>
        <w:t>2.梁建平，男，汉族，1970年7月出生，中共党员，大专学历，驻矿安全监督员，聘用人员（编外长期聘用），2020年6月起负责乔子梁煤矿安全监管工作。未认真履行报告和监督煤矿报告重大安全隐患职责；未按规定监督煤矿对各级监管监察部门查处的问题进行整改，对停工停产的措施落实不到位；监督煤矿开展安全培训不到位，对特种作业人员无证上岗情况监督不到位，对事故的发生负直接责任。鉴于其能及时口头报告煤与瓦斯超限问题，依据《中国共产党纪律处分条例》第一百三十三条之规定，建议给予其党内严重警告处分。</w:t>
      </w:r>
    </w:p>
    <w:p>
      <w:pPr>
        <w:spacing w:line="560" w:lineRule="exact"/>
        <w:ind w:firstLine="594"/>
        <w:rPr>
          <w:rFonts w:ascii="仿宋_GB2312" w:eastAsia="仿宋_GB2312"/>
          <w:szCs w:val="32"/>
        </w:rPr>
      </w:pPr>
      <w:r>
        <w:rPr>
          <w:rFonts w:hint="eastAsia" w:ascii="仿宋_GB2312" w:eastAsia="仿宋_GB2312"/>
          <w:szCs w:val="32"/>
        </w:rPr>
        <w:t>3.陈亮亮，男，汉族，1987年4月出生，中共预备党员，2018年8月至今，任印台区煤炭工业局安监股股长，负责组织开展全区地方煤矿各类安全检查工作，包联乔子梁煤矿，负责督促煤矿落实安全生产法律法规。日常监督检查工作不到位、不全面、不细致，每月应对煤矿检查2次，10月份对乔子梁煤矿仅检查1次，未发现瓦斯频繁超限的重大安全隐患问题，对驻矿安全监督员管理教育不到位，对煤矿违规使用不符合条件的工人、不落实安全培训责任的问题监管不力，对11月2日检查中发现问题的整改情况未进行跟踪督办，对事故的发生负直接责任。依据《中国共产党纪律处分条例》第三十四条、第一百三十三条，《中华人民共和国公职人员政务处分法》第三十九条第（二）项之规定，建议取消其预备党员资格，给予其政务撤职处分。</w:t>
      </w:r>
    </w:p>
    <w:p>
      <w:pPr>
        <w:spacing w:line="560" w:lineRule="exact"/>
        <w:ind w:firstLine="594"/>
        <w:rPr>
          <w:rFonts w:ascii="仿宋_GB2312" w:eastAsia="仿宋_GB2312"/>
          <w:szCs w:val="32"/>
        </w:rPr>
      </w:pPr>
      <w:r>
        <w:rPr>
          <w:rFonts w:hint="eastAsia" w:ascii="仿宋_GB2312" w:eastAsia="仿宋_GB2312"/>
          <w:szCs w:val="32"/>
        </w:rPr>
        <w:t>4.任志，男，汉族，1972年3月出生，群众，大专学历，2007年7月至今任印台区煤炭工业局安监股科员，负责全区地方煤矿安全执法检查工作，督促煤矿落实安全生产法律法规。日常监督检查工作不到位、不全面、不细致，未发现瓦斯频繁超限的重大安全问题，对驻矿安全监督员管理教育不到位，对11月2日检查中发现问题的整改情况未进行跟踪督办，对事故的发生负直接责任。依据《中华人民共和国公职人员政务处分法》第三十九条第（二）项之规定，建议给予其政务警告处分。</w:t>
      </w:r>
    </w:p>
    <w:p>
      <w:pPr>
        <w:spacing w:line="560" w:lineRule="exact"/>
        <w:ind w:firstLine="594"/>
        <w:rPr>
          <w:rFonts w:ascii="仿宋_GB2312" w:eastAsia="仿宋_GB2312"/>
          <w:szCs w:val="32"/>
        </w:rPr>
      </w:pPr>
      <w:r>
        <w:rPr>
          <w:rFonts w:hint="eastAsia" w:ascii="仿宋_GB2312" w:eastAsia="仿宋_GB2312"/>
          <w:szCs w:val="32"/>
        </w:rPr>
        <w:t>5.刘龙，男，汉族，1988年5月出生，群众，本科学历，2020年2月至今，任印台区煤炭工业局安监股科员。负责全区地方煤矿安全执法检查、计划统计数据信息分配、协调、报送等工作。督促煤矿落实安全生产法律法规，日常监督检查工作不到位、不全面、不细致，未发现瓦斯频繁超限的重大安全问题，对驻矿安全监督员管理教育不到位，对11月2日检查中发现问题的整改情况未进行跟踪督办，对事故的发生负直接责任。依据《中华人民共和国公职人员政务处分法》第三十九条第（二）项之规定，建议给予其政务警告处分。</w:t>
      </w:r>
    </w:p>
    <w:p>
      <w:pPr>
        <w:spacing w:line="560" w:lineRule="exact"/>
        <w:ind w:firstLine="594"/>
        <w:rPr>
          <w:rFonts w:ascii="仿宋_GB2312" w:eastAsia="仿宋_GB2312"/>
          <w:szCs w:val="32"/>
        </w:rPr>
      </w:pPr>
      <w:r>
        <w:rPr>
          <w:rFonts w:hint="eastAsia" w:ascii="仿宋_GB2312" w:eastAsia="仿宋_GB2312"/>
          <w:szCs w:val="32"/>
        </w:rPr>
        <w:t>6.鱼红选，男，汉族，1968年7月出生，中共党员，2013年1月至今，任印台区煤炭工业局党组成员、副局长，负责全区地方煤矿安全监管工作，分管安监股、技术股、培训股和煤炭安全监控中心。督促煤矿落实国家安全生产法律法规不严不实，对驻矿安监员和安监股管理教育不到位，督促指导分管部门对煤矿日常安全监管工作不力，对乔子梁煤矿瓦斯频繁超限、特种作业人员无证上岗情况等重大安全隐患失察，对监控系统升级改造推进督促不力，存在严重的形式主义官僚主义问题，对事故的发生负主要领导责任。依据《中华人民共和国公职人员政务处分法》第三十九条第（二）（三）项之规定，建议给予其政务记过处分。</w:t>
      </w:r>
    </w:p>
    <w:p>
      <w:pPr>
        <w:spacing w:line="560" w:lineRule="exact"/>
        <w:ind w:firstLine="594"/>
        <w:rPr>
          <w:rFonts w:ascii="仿宋_GB2312" w:eastAsia="仿宋_GB2312"/>
          <w:szCs w:val="32"/>
        </w:rPr>
      </w:pPr>
      <w:r>
        <w:rPr>
          <w:rFonts w:hint="eastAsia" w:ascii="仿宋_GB2312" w:eastAsia="仿宋_GB2312"/>
          <w:szCs w:val="32"/>
        </w:rPr>
        <w:t>7.郭怡，男，汉族，1977年4月出生，民革党员，2017年2月至今，任印台区煤炭工业局局长，负责煤炭局全面工作。督促煤矿落实国家安全生产法律法规不严不实，对驻矿安监员和安监股管理教育不到位，对煤矿重大隐患挂牌督办工作落实不到位，对乔子梁煤矿瓦斯频繁超限等重大问题失察失责，对区煤炭安全监控系统升级改造推进不力，存在严重的形式主义官僚主义问题，对事故的发生负重要领导责任。依据《中华人民共和国公职人员政务处分法》第三十九条第（二）（三）项之规定，建议对其免职，给予其政务记大过处分。</w:t>
      </w:r>
    </w:p>
    <w:p>
      <w:pPr>
        <w:spacing w:line="560" w:lineRule="exact"/>
        <w:ind w:firstLine="594"/>
        <w:rPr>
          <w:rFonts w:ascii="仿宋_GB2312" w:eastAsia="仿宋_GB2312"/>
          <w:szCs w:val="32"/>
        </w:rPr>
      </w:pPr>
      <w:r>
        <w:rPr>
          <w:rFonts w:hint="eastAsia" w:ascii="仿宋_GB2312" w:eastAsia="仿宋_GB2312"/>
          <w:szCs w:val="32"/>
        </w:rPr>
        <w:t>8.郭建东，男，汉族，1971年3月出生，中共党员，2016年12月至今，任印台区煤炭工业局党组成员、区煤炭安全监控中心主任。负责煤炭安全监控中心日常管理工作，协助抓好煤矿安全监控系统升级改造、数据信息处理工作。未及时认真审阅区煤炭安全监控中心值班台账记录，对煤矿瓦斯超限信息失察。对事故的发生负重要领导责任。依据《中华人民共和国公职人员政务处分法》第三十九条第（二）项之规定，建议给予其政务警告处分。</w:t>
      </w:r>
    </w:p>
    <w:p>
      <w:pPr>
        <w:spacing w:line="560" w:lineRule="exact"/>
        <w:ind w:firstLine="594"/>
        <w:rPr>
          <w:rFonts w:ascii="仿宋_GB2312" w:eastAsia="仿宋_GB2312"/>
          <w:szCs w:val="32"/>
        </w:rPr>
      </w:pPr>
      <w:r>
        <w:rPr>
          <w:rFonts w:hint="eastAsia" w:ascii="仿宋_GB2312" w:eastAsia="仿宋_GB2312"/>
          <w:szCs w:val="32"/>
        </w:rPr>
        <w:t>9.阴超峰，男，汉族，1977年1月出生，中共党员，2020年9月至今，任印台区煤炭工业局党组书记，未将煤矿重大隐患挂牌督办工作落实到位，对煤矿安全生产工作监督指导、监管不力，对事故的发生负重要领导责任，依据《中国共产党纪律处分条例》第一百三十三条之规定，建议给予其党内警告处分。</w:t>
      </w:r>
    </w:p>
    <w:p>
      <w:pPr>
        <w:spacing w:line="560" w:lineRule="exact"/>
        <w:ind w:firstLine="594"/>
        <w:rPr>
          <w:rFonts w:ascii="仿宋_GB2312" w:eastAsia="仿宋_GB2312"/>
          <w:szCs w:val="32"/>
        </w:rPr>
      </w:pPr>
      <w:r>
        <w:rPr>
          <w:rFonts w:hint="eastAsia" w:ascii="仿宋_GB2312" w:eastAsia="仿宋_GB2312"/>
          <w:szCs w:val="32"/>
        </w:rPr>
        <w:t>10.王九鸣，男，汉族，1972年2月出生，中共党员，2019年1月至今，任印台区区委常委、区政府副区长，负责煤炭行业管理工作，分管区煤炭工业局。对辖区煤矿安全生产工作指导督促工作成效不明显，对区煤炭工业局工作中存在的煤矿重大隐患挂牌督办落实不力、监控系统升级改造缓慢的问题失察，对事故 的发生负重要领导责任。依据《中国共产党问责条例》第八条之规定，建议对其批评教育。</w:t>
      </w:r>
    </w:p>
    <w:p>
      <w:pPr>
        <w:spacing w:line="560" w:lineRule="exact"/>
        <w:ind w:firstLine="594"/>
        <w:rPr>
          <w:rFonts w:ascii="仿宋_GB2312" w:eastAsia="仿宋_GB2312"/>
          <w:szCs w:val="32"/>
        </w:rPr>
      </w:pPr>
      <w:r>
        <w:rPr>
          <w:rFonts w:hint="eastAsia" w:ascii="仿宋_GB2312" w:eastAsia="仿宋_GB2312"/>
          <w:szCs w:val="32"/>
        </w:rPr>
        <w:t>11.李亚莉，女，汉族，1970年9月出生，中共党员，2016年2月至今，任印台区委副书记、区政府区长。作为全区安全生产第一责任人，对区煤炭工业局工作中存在的煤矿重大隐患挂牌督办落实不力、监控系统升级改造缓慢的问题失察，对事故发生负重要领导责任。依据《中国共产党问责条例》第八条之规定，建议对其谈话提醒。</w:t>
      </w:r>
    </w:p>
    <w:p>
      <w:pPr>
        <w:spacing w:line="560" w:lineRule="exact"/>
        <w:ind w:firstLine="594"/>
        <w:rPr>
          <w:rFonts w:ascii="仿宋_GB2312" w:hAnsi="仿宋" w:eastAsia="仿宋_GB2312" w:cs="仿宋_GB2312"/>
          <w:color w:val="FF0000"/>
          <w:szCs w:val="32"/>
        </w:rPr>
      </w:pPr>
      <w:r>
        <w:rPr>
          <w:rFonts w:hint="eastAsia" w:ascii="仿宋_GB2312" w:eastAsia="仿宋_GB2312"/>
          <w:szCs w:val="32"/>
        </w:rPr>
        <w:t>12.赵富祥，男，汉族，1968年8月出生，中共党员，2015年8月至今，任印台区委书记。贯彻落实党的安全生产方针政策和法律法规不到位，未严格落实安全生产“党政同责、一岗双责”要求，对事故发生负重要领导责任。依据《中国共产党问责条例》第八条之规定，建议对其谈话提醒。</w:t>
      </w:r>
    </w:p>
    <w:p>
      <w:pPr>
        <w:spacing w:line="560" w:lineRule="exact"/>
        <w:ind w:firstLine="596"/>
        <w:rPr>
          <w:rFonts w:ascii="黑体" w:hAnsi="黑体" w:eastAsia="黑体"/>
        </w:rPr>
      </w:pPr>
      <w:r>
        <w:rPr>
          <w:rFonts w:hint="eastAsia" w:ascii="仿宋_GB2312" w:eastAsia="仿宋_GB2312" w:hAnsiTheme="minorEastAsia"/>
          <w:b/>
          <w:bCs/>
          <w:szCs w:val="32"/>
        </w:rPr>
        <w:t>（五）</w:t>
      </w:r>
      <w:r>
        <w:rPr>
          <w:rFonts w:hint="eastAsia" w:ascii="黑体" w:hAnsi="黑体" w:eastAsia="黑体"/>
        </w:rPr>
        <w:t>建议对乔子梁煤矿实施的行政处罚</w:t>
      </w:r>
    </w:p>
    <w:p>
      <w:pPr>
        <w:spacing w:line="560" w:lineRule="exact"/>
        <w:ind w:firstLine="594"/>
        <w:rPr>
          <w:rFonts w:ascii="仿宋_GB2312" w:hAnsi="仿宋_GB2312" w:eastAsia="仿宋_GB2312" w:cs="仿宋_GB2312"/>
          <w:szCs w:val="32"/>
        </w:rPr>
      </w:pPr>
      <w:r>
        <w:rPr>
          <w:rFonts w:hint="eastAsia" w:ascii="仿宋_GB2312" w:eastAsia="仿宋_GB2312"/>
        </w:rPr>
        <w:t>乔子梁煤矿发生较大煤与瓦斯突出责任事故，</w:t>
      </w:r>
      <w:r>
        <w:rPr>
          <w:rFonts w:hint="eastAsia" w:ascii="仿宋_GB2312" w:hAnsi="仿宋_GB2312" w:eastAsia="仿宋_GB2312" w:cs="仿宋_GB2312"/>
          <w:szCs w:val="32"/>
        </w:rPr>
        <w:t>依据《中华人民共和国安全生产法》第一百零九条第二项</w:t>
      </w:r>
      <w:r>
        <w:rPr>
          <w:rStyle w:val="23"/>
          <w:rFonts w:ascii="仿宋_GB2312" w:hAnsi="仿宋_GB2312" w:eastAsia="仿宋_GB2312" w:cs="仿宋_GB2312"/>
          <w:szCs w:val="32"/>
        </w:rPr>
        <w:footnoteReference w:id="6"/>
      </w:r>
      <w:r>
        <w:rPr>
          <w:rFonts w:hint="eastAsia" w:ascii="仿宋_GB2312" w:hAnsi="仿宋_GB2312" w:eastAsia="仿宋_GB2312" w:cs="仿宋_GB2312"/>
          <w:szCs w:val="32"/>
        </w:rPr>
        <w:t>和《生产安全事故罚款处罚规定（试行）》第十五条第二项规定</w:t>
      </w:r>
      <w:r>
        <w:rPr>
          <w:rStyle w:val="23"/>
          <w:rFonts w:ascii="仿宋_GB2312" w:hAnsi="仿宋_GB2312" w:eastAsia="仿宋_GB2312" w:cs="仿宋_GB2312"/>
          <w:szCs w:val="32"/>
        </w:rPr>
        <w:footnoteReference w:id="7"/>
      </w:r>
      <w:r>
        <w:rPr>
          <w:rFonts w:hint="eastAsia" w:ascii="仿宋_GB2312" w:hAnsi="仿宋_GB2312" w:eastAsia="仿宋_GB2312" w:cs="仿宋_GB2312"/>
          <w:szCs w:val="32"/>
        </w:rPr>
        <w:t>，建议给予罚款</w:t>
      </w:r>
      <w:r>
        <w:rPr>
          <w:rFonts w:hint="eastAsia" w:ascii="仿宋_GB2312" w:hAnsi="仿宋_GB2312" w:eastAsia="仿宋_GB2312" w:cs="仿宋_GB2312"/>
          <w:color w:val="000000" w:themeColor="text1"/>
          <w:szCs w:val="32"/>
          <w14:textFill>
            <w14:solidFill>
              <w14:schemeClr w14:val="tx1"/>
            </w14:solidFill>
          </w14:textFill>
        </w:rPr>
        <w:t>100</w:t>
      </w:r>
      <w:r>
        <w:rPr>
          <w:rFonts w:hint="eastAsia" w:ascii="仿宋_GB2312" w:hAnsi="仿宋_GB2312" w:eastAsia="仿宋_GB2312" w:cs="仿宋_GB2312"/>
          <w:szCs w:val="32"/>
        </w:rPr>
        <w:t>万元。依据《煤矿安全监察条例》第四十六条之规定，建议责令停产整顿。依据《对安全生产领域失信行为开展联合惩戒的实施办法》（安监总办〔2017〕49号）的规定，建议对乔子梁煤矿进行联合惩戒，将法定代表人、董事长张国明纳入安全生产失信联合惩戒“黑名单”管理。</w:t>
      </w:r>
    </w:p>
    <w:p>
      <w:pPr>
        <w:pStyle w:val="24"/>
        <w:ind w:firstLine="596"/>
        <w:rPr>
          <w:rFonts w:ascii="仿宋_GB2312" w:hAnsi="仿宋" w:eastAsia="仿宋_GB2312" w:cs="仿宋"/>
          <w:b/>
          <w:bCs/>
          <w:color w:val="auto"/>
          <w:kern w:val="2"/>
          <w:sz w:val="32"/>
          <w:szCs w:val="32"/>
        </w:rPr>
      </w:pPr>
      <w:r>
        <w:rPr>
          <w:rFonts w:hint="eastAsia" w:ascii="仿宋_GB2312" w:hAnsi="仿宋" w:eastAsia="仿宋_GB2312" w:cs="仿宋"/>
          <w:b/>
          <w:bCs/>
          <w:color w:val="auto"/>
          <w:kern w:val="2"/>
          <w:sz w:val="32"/>
          <w:szCs w:val="32"/>
        </w:rPr>
        <w:t>（六）其他</w:t>
      </w:r>
    </w:p>
    <w:p>
      <w:pPr>
        <w:spacing w:line="560" w:lineRule="exact"/>
        <w:ind w:firstLine="594"/>
        <w:rPr>
          <w:rFonts w:ascii="仿宋" w:hAnsi="仿宋" w:eastAsia="仿宋"/>
          <w:szCs w:val="32"/>
        </w:rPr>
      </w:pPr>
      <w:r>
        <w:rPr>
          <w:rFonts w:hint="eastAsia" w:ascii="仿宋" w:hAnsi="仿宋" w:eastAsia="仿宋"/>
          <w:szCs w:val="32"/>
        </w:rPr>
        <w:t>印台区委、区政府抓工作落实的手段不够有力、效果不明显，区政府对区煤炭工业局督促指导不够，没有把安全生产监督管理责任传导到最基层，组织开展煤矿复工复产验收和安全集中整治活动不够深入，对煤炭工业局工作中存在的煤矿重大隐患挂牌督办落实不力、监控系统升级改造缓慢等各种问题失察，建议责令印台区委、区政府分别向铜川市委、市政府做出深刻书面检查。</w:t>
      </w:r>
    </w:p>
    <w:p>
      <w:pPr>
        <w:pBdr>
          <w:bottom w:val="single" w:color="FFFFFF" w:sz="4" w:space="7"/>
        </w:pBdr>
        <w:ind w:firstLine="596"/>
        <w:rPr>
          <w:rFonts w:ascii="仿宋" w:hAnsi="仿宋" w:eastAsia="仿宋" w:cs="仿宋"/>
          <w:b/>
          <w:bCs/>
          <w:szCs w:val="32"/>
        </w:rPr>
      </w:pPr>
      <w:r>
        <w:rPr>
          <w:rFonts w:hint="eastAsia" w:ascii="仿宋" w:hAnsi="仿宋" w:eastAsia="仿宋" w:cs="仿宋"/>
          <w:b/>
          <w:bCs/>
          <w:szCs w:val="32"/>
        </w:rPr>
        <w:t>十、事故防范措施及整改建议</w:t>
      </w:r>
    </w:p>
    <w:p>
      <w:pPr>
        <w:autoSpaceDE w:val="0"/>
        <w:autoSpaceDN w:val="0"/>
        <w:ind w:firstLine="337" w:firstLineChars="100"/>
        <w:rPr>
          <w:rFonts w:ascii="仿宋" w:hAnsi="仿宋" w:eastAsia="仿宋"/>
          <w:szCs w:val="32"/>
        </w:rPr>
      </w:pPr>
      <w:r>
        <w:rPr>
          <w:rFonts w:hint="eastAsia" w:ascii="仿宋" w:hAnsi="仿宋" w:eastAsia="仿宋" w:cs="仿宋"/>
          <w:b/>
          <w:bCs/>
          <w:color w:val="000000"/>
          <w:kern w:val="0"/>
          <w:sz w:val="36"/>
          <w:szCs w:val="36"/>
          <w:shd w:val="clear" w:color="auto" w:fill="FFFFFF"/>
        </w:rPr>
        <w:t>（一）</w:t>
      </w:r>
      <w:r>
        <w:rPr>
          <w:rFonts w:hint="eastAsia" w:ascii="仿宋" w:hAnsi="仿宋" w:eastAsia="仿宋" w:cs="仿宋"/>
          <w:b/>
          <w:bCs/>
          <w:color w:val="000000"/>
          <w:kern w:val="0"/>
          <w:szCs w:val="32"/>
          <w:shd w:val="clear" w:color="auto" w:fill="FFFFFF"/>
        </w:rPr>
        <w:t>认真贯彻落实安全发展理念,牢固树立安全红线意识。</w:t>
      </w:r>
      <w:r>
        <w:rPr>
          <w:rFonts w:hint="eastAsia" w:ascii="仿宋" w:hAnsi="仿宋" w:eastAsia="仿宋"/>
          <w:szCs w:val="32"/>
        </w:rPr>
        <w:t>地方政府要认真贯彻落实习近平总书记关于安全生产的重要论述和批示指示精神，坚持人民至上、生命至上，牢固树立高质量发展和安全发展理念，切实摆正安全与生产、安全与效益、安全与发展关系，通过系统治理、依法治理、综合治理和源头治理，不断提升煤矿安全治理体系和治理能力，推动煤矿企业高质量发展。监管部门要做到管行业必须管安全、管业务必须管安全、管生产经营必须管安全，把煤矿安全放在各项工作首位，安全是煤矿生产经营的基础和保障，要加大对辖区地方煤矿安全监管力度，从思想上提高对煤矿突出灾害复杂性的认识，高度重视低瓦斯煤矿瓦斯治理监管工作。煤矿企业要提高思想认识，安全是煤矿生存基本前提和条件，不抓安全生产经营无从谈起，安全是煤矿的红线也是底线，时刻把职工生命安全放在第一位，要把安全责任扛在肩上，挂在心上，真正落实在生产活动的行动上，要依法办矿，合法生产经营，履职尽责，杜绝违法非法生产。</w:t>
      </w:r>
    </w:p>
    <w:p>
      <w:pPr>
        <w:pStyle w:val="16"/>
        <w:shd w:val="clear" w:color="auto" w:fill="FFFFFF"/>
        <w:spacing w:before="0" w:beforeAutospacing="0" w:after="150" w:afterAutospacing="0"/>
        <w:ind w:firstLine="446" w:firstLineChars="150"/>
        <w:rPr>
          <w:rFonts w:ascii="仿宋" w:hAnsi="仿宋" w:eastAsia="仿宋" w:cs="Times New Roman"/>
          <w:kern w:val="2"/>
          <w:sz w:val="32"/>
          <w:szCs w:val="32"/>
        </w:rPr>
      </w:pPr>
      <w:r>
        <w:rPr>
          <w:rFonts w:hint="eastAsia" w:ascii="仿宋" w:hAnsi="仿宋" w:eastAsia="仿宋" w:cs="仿宋"/>
          <w:b/>
          <w:bCs/>
          <w:color w:val="000000"/>
          <w:sz w:val="32"/>
          <w:szCs w:val="32"/>
          <w:shd w:val="clear" w:color="auto" w:fill="FFFFFF"/>
        </w:rPr>
        <w:t>（二）强化低瓦斯矿井瓦斯地质工作。</w:t>
      </w:r>
      <w:r>
        <w:rPr>
          <w:rFonts w:hint="eastAsia" w:ascii="仿宋" w:hAnsi="仿宋" w:eastAsia="仿宋" w:cs="Times New Roman"/>
          <w:kern w:val="2"/>
          <w:sz w:val="32"/>
          <w:szCs w:val="32"/>
        </w:rPr>
        <w:t>一要加强地质预测预报，树立“遇见地质构造没有预报就是事故”的理念。按规定要及时测定瓦斯压力、瓦斯含量、瓦斯放散初速度、煤的硬度、瓦斯吸附和解吸性能、钻屑解吸指标、煤的坚固性系数等参数，准确掌握煤层瓦斯赋存规律和煤与瓦斯突出危险状况，编制煤层瓦斯地质报告，为矿井瓦斯治理和突出灾害防治提供科学依据，有效指导瓦斯灾害防治工作。二要非突出矿井在采掘作业过程中应及时关注瓦斯涌出变化，一旦出现瓦斯涌出增加现象，应停止相关地点的作业，分析导致瓦斯增加原因，如地质条件变化（断层、褶曲和煤层变厚等）、瓦斯赋存条件变化和采掘作业强度变化等，制定有针对性的防范技术和管理措施。三要严格按照要求开展煤层瓦斯等级鉴定、突出危险性鉴定或认定工作。要密切关注煤层突出预兆、分析瓦斯涌出异常变化等情况，非突出煤层在出现《防治煤与瓦斯突出细则》第十三条规定的情况时，必须立即按规定采取相应措施。</w:t>
      </w:r>
    </w:p>
    <w:p>
      <w:pPr>
        <w:widowControl/>
        <w:shd w:val="clear" w:color="auto" w:fill="FFFFFF"/>
        <w:ind w:firstLine="596"/>
        <w:rPr>
          <w:rFonts w:ascii="仿宋" w:hAnsi="仿宋" w:eastAsia="仿宋"/>
          <w:szCs w:val="32"/>
        </w:rPr>
      </w:pPr>
      <w:r>
        <w:rPr>
          <w:rFonts w:hint="eastAsia" w:ascii="仿宋" w:hAnsi="仿宋" w:eastAsia="仿宋" w:cs="仿宋"/>
          <w:b/>
          <w:bCs/>
          <w:color w:val="000000"/>
          <w:kern w:val="0"/>
          <w:szCs w:val="32"/>
          <w:shd w:val="clear" w:color="auto" w:fill="FFFFFF"/>
        </w:rPr>
        <w:t>（三）深化煤矿安全专项整治三年行动。</w:t>
      </w:r>
      <w:r>
        <w:rPr>
          <w:rFonts w:hint="eastAsia" w:ascii="仿宋" w:hAnsi="仿宋" w:eastAsia="仿宋" w:cs="仿宋"/>
          <w:bCs/>
          <w:color w:val="000000"/>
          <w:kern w:val="0"/>
          <w:szCs w:val="32"/>
          <w:shd w:val="clear" w:color="auto" w:fill="FFFFFF"/>
        </w:rPr>
        <w:t>煤矿</w:t>
      </w:r>
      <w:r>
        <w:rPr>
          <w:rFonts w:hint="eastAsia" w:ascii="仿宋" w:hAnsi="仿宋" w:eastAsia="仿宋"/>
          <w:szCs w:val="32"/>
        </w:rPr>
        <w:t>安全专项整治工作是贯彻落实习总书记安全生产重要论述和批示指示精神的重大举措，是近年来煤矿安全工作的方向指南，是煤矿高质量发展的重要途径，煤矿企业要加大重大灾害治理力度，根据实际情况，推动瓦斯、冲击地压等重大灾害治理措施落实，要紧紧围绕从根本上消除事故隐患的目标任务，以防范和遏制重特大事故为重点，将防范化解重大风险、落实企业安全生产主体责任、开展重大隐患治理、推进风险研判等工作贯穿煤矿安全专项整治三年行动始终，要严厉打击超能力、超强度开采、以掘代采、超层越界开采和拒不执行停产停工指令等严重违法违规行为，坚决防范遏制煤矿重特大事故。</w:t>
      </w:r>
    </w:p>
    <w:p>
      <w:pPr>
        <w:widowControl/>
        <w:shd w:val="clear" w:color="auto" w:fill="FFFFFF"/>
        <w:ind w:firstLine="596"/>
        <w:jc w:val="left"/>
        <w:rPr>
          <w:rFonts w:ascii="仿宋" w:hAnsi="仿宋" w:eastAsia="仿宋"/>
          <w:szCs w:val="32"/>
        </w:rPr>
      </w:pPr>
      <w:r>
        <w:rPr>
          <w:rFonts w:hint="eastAsia" w:ascii="仿宋" w:hAnsi="仿宋" w:eastAsia="仿宋" w:cs="仿宋"/>
          <w:b/>
          <w:bCs/>
          <w:color w:val="000000"/>
          <w:kern w:val="0"/>
          <w:szCs w:val="32"/>
          <w:shd w:val="clear" w:color="auto" w:fill="FFFFFF"/>
        </w:rPr>
        <w:t>（四）加强现场安全管理，提高风险防控意识。</w:t>
      </w:r>
      <w:r>
        <w:rPr>
          <w:rFonts w:hint="eastAsia" w:ascii="仿宋" w:hAnsi="仿宋" w:eastAsia="仿宋"/>
          <w:szCs w:val="32"/>
        </w:rPr>
        <w:t>煤矿企业的工作重点在井下，采、掘、机、运、通、防治水和监控各个系统缺一不可，“一通三防”是各项工作的重中之重，采煤和掘进工作面不容忽视，要加强采掘工作面现场安全管理，针对不同的灾害制定相应有针对性的安全技术措施，对技术力量薄弱的民营企业，监管部门可联系科研院所或大专院校帮助解决，安全技术措施要会审研究，层层把关审批，要向每一名职工学习贯彻，贯彻要签名记录在案，要在工作面执行到位，措施执行不到位坚决不能生产；要健全各项管理制度，狠返“三违</w:t>
      </w:r>
      <w:r>
        <w:rPr>
          <w:rFonts w:ascii="仿宋" w:hAnsi="仿宋" w:eastAsia="仿宋"/>
          <w:szCs w:val="32"/>
        </w:rPr>
        <w:t>”</w:t>
      </w:r>
      <w:r>
        <w:rPr>
          <w:rFonts w:hint="eastAsia" w:ascii="仿宋" w:hAnsi="仿宋" w:eastAsia="仿宋"/>
          <w:szCs w:val="32"/>
        </w:rPr>
        <w:t>,教育引导职工遵章守纪，按章作业；要落实矿级领导带班制度，同职工同上同下，安监部门要加强对采掘工作面现场监督检查，充分发挥驻矿安监员岗前哨作用，井下出现异常情况要及时向监管部门汇报，以总工程师为首的技术团队对井下异常情况要认真分析研判，提高风险防控意识，确保矿井安全生产。</w:t>
      </w:r>
    </w:p>
    <w:p>
      <w:pPr>
        <w:adjustRightInd w:val="0"/>
        <w:snapToGrid w:val="0"/>
        <w:ind w:firstLine="556"/>
        <w:rPr>
          <w:rFonts w:ascii="仿宋" w:hAnsi="仿宋" w:eastAsia="仿宋"/>
          <w:szCs w:val="32"/>
        </w:rPr>
      </w:pPr>
      <w:r>
        <w:rPr>
          <w:rFonts w:hint="eastAsia" w:ascii="仿宋" w:hAnsi="仿宋" w:eastAsia="仿宋"/>
          <w:b/>
          <w:bCs/>
          <w:sz w:val="30"/>
          <w:szCs w:val="30"/>
        </w:rPr>
        <w:t>（五）要配齐配足专业技术人员，加强煤矿从业人员安全教育培训。</w:t>
      </w:r>
      <w:r>
        <w:rPr>
          <w:rFonts w:hint="eastAsia" w:ascii="仿宋" w:hAnsi="仿宋" w:eastAsia="仿宋"/>
          <w:szCs w:val="32"/>
        </w:rPr>
        <w:t>煤矿要按照煤矿企业定员设计配齐配足专业技术人员和特种操作人员，专业技术门类要齐全，人员数量充足，做到持证上岗；对煤矿主要负责人要进行防突技术和管理培训，提高技术人员的防突技术技能，开展煤矿从业人员防突专项知识的培训和轮训，实现全员熟悉突出预兆，掌握突出防治的基本知识、基本程序、紧急避险系统的使用和安全逃生方法，强化其危险源辨识水平和应急处置能力；加强井上下各类生产从业人员严格遵守劳动纪律教育，认真组织职工对规程措施的宣贯工作，杜绝“三违”。</w:t>
      </w:r>
    </w:p>
    <w:p>
      <w:pPr>
        <w:pStyle w:val="16"/>
        <w:shd w:val="clear" w:color="auto" w:fill="FFFFFF"/>
        <w:spacing w:before="0" w:beforeAutospacing="0" w:after="150" w:afterAutospacing="0"/>
        <w:ind w:firstLine="596"/>
        <w:rPr>
          <w:rFonts w:ascii="仿宋" w:hAnsi="仿宋" w:eastAsia="仿宋" w:cs="Times New Roman"/>
          <w:kern w:val="2"/>
          <w:sz w:val="32"/>
          <w:szCs w:val="32"/>
        </w:rPr>
      </w:pPr>
      <w:r>
        <w:rPr>
          <w:rFonts w:hint="eastAsia" w:ascii="仿宋" w:hAnsi="仿宋" w:eastAsia="仿宋" w:cs="仿宋"/>
          <w:b/>
          <w:bCs/>
          <w:color w:val="000000"/>
          <w:sz w:val="32"/>
          <w:szCs w:val="32"/>
          <w:shd w:val="clear" w:color="auto" w:fill="FFFFFF"/>
        </w:rPr>
        <w:t>（六）强化依法治安，提高执法效能。</w:t>
      </w:r>
      <w:r>
        <w:rPr>
          <w:rFonts w:hint="eastAsia" w:ascii="仿宋" w:hAnsi="仿宋" w:eastAsia="仿宋" w:cs="Times New Roman"/>
          <w:kern w:val="2"/>
          <w:sz w:val="32"/>
          <w:szCs w:val="32"/>
        </w:rPr>
        <w:t>党委政府要切实担负起促一方发展、保一方平安的政治责任。各级政府要充分认识煤炭产业持续安全发展的重大意义，牢固树立以人民为中心的发展理念，持续强化举一反三、加强警示教育，采取强有力措施推动煤炭工业安全高质量发展。一要认真贯彻落实《地方党政领导干部安全生产责任制规定》，加强组织领导，强化属地管理，完善体制机制。党委和政府主要负责同志是本地区安全生产第一责任人，必须带头履行职责、带头担当作为、带头承担责任。政府主要负责同志和分管负责同志要认真履行《地方党政领导干部安全生产责任制规定》明确的六项职责，认真贯彻落实国家、省、市关于安全生产的决策部署；切实用事故教训推动煤矿安全生产工作，及时组织研究解决辖区煤矿安全生产突出问题，组织实施安全生产监督检查、巡查、考核等工作，督促相关部门认真履行安全监管职责，构建良好的安全生产责任体系。二要加强煤矿安全监管队伍建设。配置专门负责煤矿安全生产的机构并配齐班子成员，完善煤矿安全监管部门内设机构和执法队伍，严格按照“三定方案”补充人员。切实解决驻矿安监员履职不到位的问题。把驻矿安监员作为信息联络员、法律法规宣传员、重大隐患监督落实员的“三员”作用落地落实，确保煤矿安全监管的“前哨”和“盯守”效果。多措并举，通过购买专业机构服务、专家技术服务等措施，切实提升煤矿安全监管技术支撑能力。</w:t>
      </w:r>
    </w:p>
    <w:p>
      <w:pPr>
        <w:widowControl/>
        <w:ind w:right="1192" w:firstLine="596"/>
        <w:jc w:val="left"/>
        <w:rPr>
          <w:rFonts w:ascii="仿宋" w:hAnsi="仿宋" w:eastAsia="仿宋" w:cs="仿宋"/>
          <w:szCs w:val="32"/>
        </w:rPr>
      </w:pPr>
      <w:r>
        <w:rPr>
          <w:rFonts w:hint="eastAsia" w:ascii="仿宋" w:hAnsi="仿宋" w:eastAsia="仿宋" w:cs="仿宋"/>
          <w:b/>
          <w:color w:val="000000"/>
          <w:kern w:val="0"/>
          <w:szCs w:val="32"/>
        </w:rPr>
        <w:t xml:space="preserve">附: </w:t>
      </w:r>
      <w:r>
        <w:rPr>
          <w:rFonts w:hint="eastAsia" w:ascii="仿宋" w:hAnsi="仿宋" w:eastAsia="仿宋" w:cs="仿宋"/>
          <w:color w:val="000000"/>
          <w:kern w:val="0"/>
          <w:szCs w:val="32"/>
        </w:rPr>
        <w:t>铜川乔子梁煤业有限公司“11·4”较大煤与瓦斯突出事故调查组成员名单</w:t>
      </w:r>
    </w:p>
    <w:p>
      <w:pPr>
        <w:pStyle w:val="2"/>
        <w:ind w:firstLine="596"/>
        <w:rPr>
          <w:rFonts w:ascii="仿宋" w:hAnsi="仿宋" w:eastAsia="仿宋" w:cs="仿宋"/>
          <w:b/>
          <w:color w:val="000000"/>
          <w:kern w:val="0"/>
          <w:szCs w:val="32"/>
          <w:lang w:eastAsia="zh-CN"/>
        </w:rPr>
      </w:pPr>
    </w:p>
    <w:p>
      <w:pPr>
        <w:widowControl/>
        <w:ind w:right="894" w:firstLine="596"/>
        <w:jc w:val="right"/>
        <w:rPr>
          <w:rFonts w:ascii="仿宋" w:hAnsi="仿宋" w:eastAsia="仿宋" w:cs="仿宋"/>
          <w:b/>
          <w:color w:val="000000"/>
          <w:kern w:val="0"/>
          <w:szCs w:val="32"/>
        </w:rPr>
      </w:pPr>
      <w:r>
        <w:rPr>
          <w:rFonts w:hint="eastAsia" w:ascii="仿宋" w:hAnsi="仿宋" w:eastAsia="仿宋" w:cs="仿宋"/>
          <w:b/>
          <w:color w:val="000000"/>
          <w:kern w:val="0"/>
          <w:szCs w:val="32"/>
        </w:rPr>
        <w:t xml:space="preserve">铜川乔子梁煤业有限公司   </w:t>
      </w:r>
    </w:p>
    <w:p>
      <w:pPr>
        <w:widowControl/>
        <w:ind w:firstLine="596"/>
        <w:jc w:val="right"/>
        <w:rPr>
          <w:rFonts w:ascii="仿宋" w:hAnsi="仿宋" w:eastAsia="仿宋" w:cs="仿宋"/>
          <w:szCs w:val="32"/>
        </w:rPr>
      </w:pPr>
      <w:r>
        <w:rPr>
          <w:rFonts w:hint="eastAsia" w:ascii="仿宋" w:hAnsi="仿宋" w:eastAsia="仿宋" w:cs="仿宋"/>
          <w:b/>
          <w:color w:val="000000"/>
          <w:kern w:val="0"/>
          <w:szCs w:val="32"/>
        </w:rPr>
        <w:t>“11·4”较大煤与瓦斯突出事故调查组</w:t>
      </w:r>
    </w:p>
    <w:p>
      <w:pPr>
        <w:widowControl/>
        <w:ind w:right="596" w:firstLine="4455" w:firstLineChars="1500"/>
        <w:rPr>
          <w:rFonts w:ascii="仿宋" w:hAnsi="仿宋" w:eastAsia="仿宋" w:cs="仿宋"/>
          <w:b/>
          <w:szCs w:val="32"/>
        </w:rPr>
      </w:pPr>
      <w:r>
        <w:rPr>
          <w:rFonts w:hint="eastAsia" w:ascii="仿宋" w:hAnsi="仿宋" w:eastAsia="仿宋" w:cs="仿宋"/>
          <w:b/>
          <w:color w:val="000000"/>
          <w:kern w:val="0"/>
          <w:szCs w:val="32"/>
        </w:rPr>
        <w:t xml:space="preserve">2021 年 3月15 日           </w:t>
      </w:r>
    </w:p>
    <w:sectPr>
      <w:headerReference r:id="rId7" w:type="first"/>
      <w:footerReference r:id="rId10" w:type="first"/>
      <w:headerReference r:id="rId5" w:type="default"/>
      <w:footerReference r:id="rId8" w:type="default"/>
      <w:headerReference r:id="rId6" w:type="even"/>
      <w:footerReference r:id="rId9" w:type="even"/>
      <w:footnotePr>
        <w:numFmt w:val="decimalEnclosedCircleChinese"/>
      </w:footnotePr>
      <w:pgSz w:w="11906" w:h="16838"/>
      <w:pgMar w:top="1440" w:right="1797" w:bottom="1440" w:left="1797" w:header="851" w:footer="992" w:gutter="0"/>
      <w:pgNumType w:fmt="numberInDash"/>
      <w:cols w:space="720" w:num="1"/>
      <w:docGrid w:type="linesAndChars" w:linePitch="634" w:charSpace="-47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94"/>
      </w:pPr>
      <w:r>
        <w:separator/>
      </w:r>
    </w:p>
  </w:endnote>
  <w:endnote w:type="continuationSeparator" w:id="1">
    <w:p>
      <w:pPr>
        <w:spacing w:line="240" w:lineRule="auto"/>
        <w:ind w:firstLine="59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华文中宋">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19100" cy="381000"/>
              <wp:effectExtent l="0" t="0" r="0" b="0"/>
              <wp:wrapNone/>
              <wp:docPr id="8" name="文本框 1"/>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a:noFill/>
                      </a:ln>
                    </wps:spPr>
                    <wps:txbx>
                      <w:txbxContent>
                        <w:p>
                          <w:pPr>
                            <w:pStyle w:val="12"/>
                            <w:ind w:firstLine="360"/>
                          </w:pPr>
                          <w:r>
                            <w:fldChar w:fldCharType="begin"/>
                          </w:r>
                          <w:r>
                            <w:instrText xml:space="preserve"> PAGE  \* MERGEFORMAT </w:instrText>
                          </w:r>
                          <w:r>
                            <w:fldChar w:fldCharType="separate"/>
                          </w:r>
                          <w:r>
                            <w:t>- 53 -</w:t>
                          </w:r>
                          <w:r>
                            <w:fldChar w:fldCharType="end"/>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30pt;width:33pt;mso-position-horizontal:center;mso-position-horizontal-relative:margin;mso-wrap-style:none;z-index:251659264;mso-width-relative:page;mso-height-relative:page;" filled="f" stroked="f" coordsize="21600,21600" o:gfxdata="UEsDBAoAAAAAAIdO4kAAAAAAAAAAAAAAAAAEAAAAZHJzL1BLAwQUAAAACACHTuJA6Z5Ahc8AAAAD&#10;AQAADwAAAGRycy9kb3ducmV2LnhtbE2PMU/DMBCFd6T+B+sqsVG7DKFK43SoxMJGQUhsbnyNI+xz&#10;ZLtp8u85WGC509M7vftec5iDFxOmPETSsN0oEEhdtAP1Gt7fnh92IHIxZI2PhBoWzHBoV3eNqW28&#10;0StOp9ILDqFcGw2ulLGWMncOg8mbOCKxd4kpmMIy9dImc+Pw4OWjUpUMZiD+4MyIR4fd1+kaNDzN&#10;HxHHjEf8vExdcsOy8y+L1vfrrdqDKDiXv2P4wWd0aJnpHK9ks/AauEj5nexVFaszb6VAto38z95+&#10;A1BLAwQUAAAACACHTuJAvyd1kwcCAAACBAAADgAAAGRycy9lMm9Eb2MueG1srVNLbtswEN0X6B0I&#10;7mtZaVGkguUgjeGiQPoB0hyApiiJqMghhrQl9wDtDbrqJvuey+fokLKcNN1k0Q0xJIdv3nszXFwM&#10;pmM7hV6DLXk+m3OmrIRK26bkt1/WL84580HYSnRgVcn3yvOL5fNni94V6gxa6CqFjECsL3pX8jYE&#10;V2SZl60yws/AKUuXNaARgbbYZBWKntBNl53N56+zHrByCFJ5T6er8ZIfEfEpgFDXWqoVyK1RNoyo&#10;qDoRSJJvtfN8mdjWtZLhU117FVhXclIa0kpFKN7ENVsuRNGgcK2WRwriKRQeaTJCWyp6glqJINgW&#10;9T9QRksED3WYSTDZKCQ5Qiry+SNvblrhVNJCVnt3Mt3/P1j5cfcZma5KTm23wlDDDz9/HH79Ptx9&#10;Z3m0p3e+oKwbR3lheAsDDU2S6t01yK+eWbhqhW3UJSL0rRIV0UsvswdPRxwfQTb9B6iojtgGSEBD&#10;jSZ6R24wQqfW7E+tUUNgkg5f5W/yOd1Iunp5TmFqXSaK6bFDH94pMCwGJUfqfAIXu2sfSAalTimx&#10;loW17rrU/c7+dUCJ8SSRj3xH5mHYDEczNlDtSQbCOEz0lShoAb9x1tMgldzSv+Gse2/JiDhzU4BT&#10;sJkCYSU9LHngbAyvwjibW4e6aQl3svqSzFrrJCS6OnI4sqTRSPqOYxxn7+E+Zd1/3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Z5Ahc8AAAADAQAADwAAAAAAAAABACAAAAAiAAAAZHJzL2Rvd25y&#10;ZXYueG1sUEsBAhQAFAAAAAgAh07iQL8ndZMHAgAAAgQAAA4AAAAAAAAAAQAgAAAAHgEAAGRycy9l&#10;Mm9Eb2MueG1sUEsFBgAAAAAGAAYAWQEAAJcFAAAAAA==&#10;">
              <v:fill on="f" focussize="0,0"/>
              <v:stroke on="f"/>
              <v:imagedata o:title=""/>
              <o:lock v:ext="edit" aspectratio="f"/>
              <v:textbox inset="0mm,0mm,0mm,0mm" style="mso-fit-shape-to-text:t;">
                <w:txbxContent>
                  <w:p>
                    <w:pPr>
                      <w:pStyle w:val="12"/>
                      <w:ind w:firstLine="360"/>
                    </w:pPr>
                    <w:r>
                      <w:fldChar w:fldCharType="begin"/>
                    </w:r>
                    <w:r>
                      <w:instrText xml:space="preserve"> PAGE  \* MERGEFORMAT </w:instrText>
                    </w:r>
                    <w:r>
                      <w:fldChar w:fldCharType="separate"/>
                    </w:r>
                    <w:r>
                      <w:t>- 53 -</w:t>
                    </w:r>
                    <w:r>
                      <w:fldChar w:fldCharType="end"/>
                    </w:r>
                  </w:p>
                </w:txbxContent>
              </v:textbox>
            </v:shape>
          </w:pict>
        </mc:Fallback>
      </mc:AlternateContent>
    </w: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20"/>
      </w:rPr>
    </w:pPr>
    <w:r>
      <w:fldChar w:fldCharType="begin"/>
    </w:r>
    <w:r>
      <w:rPr>
        <w:rStyle w:val="20"/>
      </w:rPr>
      <w:instrText xml:space="preserve">PAGE  </w:instrText>
    </w:r>
    <w:r>
      <w:fldChar w:fldCharType="end"/>
    </w:r>
  </w:p>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pPr>
        <w:spacing w:line="240" w:lineRule="auto"/>
        <w:ind w:firstLine="594"/>
      </w:pPr>
      <w:r>
        <w:separator/>
      </w:r>
    </w:p>
  </w:footnote>
  <w:footnote w:type="continuationSeparator" w:id="17">
    <w:p>
      <w:pPr>
        <w:spacing w:line="240" w:lineRule="auto"/>
        <w:ind w:firstLine="594"/>
      </w:pPr>
      <w:r>
        <w:continuationSeparator/>
      </w:r>
    </w:p>
  </w:footnote>
  <w:footnote w:id="0">
    <w:p>
      <w:pPr>
        <w:pStyle w:val="14"/>
        <w:ind w:firstLine="314"/>
        <w:rPr>
          <w:rFonts w:ascii="楷体_GB2312" w:eastAsia="楷体_GB2312"/>
          <w:sz w:val="24"/>
          <w:szCs w:val="24"/>
        </w:rPr>
      </w:pPr>
      <w:r>
        <w:footnoteRef/>
      </w:r>
      <w:r>
        <w:rPr>
          <w:rFonts w:hint="eastAsia" w:ascii="楷体_GB2312" w:eastAsia="楷体_GB2312"/>
          <w:sz w:val="24"/>
          <w:szCs w:val="24"/>
        </w:rPr>
        <w:t xml:space="preserve"> 《煤矿安全规程》第一百八十九条第三款：有下列情况之一的煤层，应当立即进行煤层突出危险性鉴定，否则直接认定为突出煤层；鉴定未完成前，应当按照突出煤层管理：（一）有瓦斯动力现象的。</w:t>
      </w:r>
    </w:p>
  </w:footnote>
  <w:footnote w:id="1">
    <w:p>
      <w:pPr>
        <w:pStyle w:val="14"/>
        <w:ind w:firstLine="434"/>
        <w:rPr>
          <w:rFonts w:ascii="楷体_GB2312" w:eastAsia="楷体_GB2312"/>
          <w:sz w:val="24"/>
          <w:szCs w:val="24"/>
        </w:rPr>
      </w:pPr>
      <w:r>
        <w:rPr>
          <w:rFonts w:ascii="楷体_GB2312" w:eastAsia="楷体_GB2312"/>
          <w:sz w:val="24"/>
          <w:szCs w:val="24"/>
        </w:rPr>
        <w:footnoteRef/>
      </w:r>
      <w:r>
        <w:rPr>
          <w:rFonts w:ascii="楷体_GB2312" w:eastAsia="楷体_GB2312"/>
          <w:sz w:val="24"/>
          <w:szCs w:val="24"/>
        </w:rPr>
        <w:t xml:space="preserve"> </w:t>
      </w:r>
      <w:r>
        <w:rPr>
          <w:rFonts w:hint="eastAsia" w:ascii="楷体_GB2312" w:eastAsia="楷体_GB2312"/>
          <w:sz w:val="24"/>
          <w:szCs w:val="24"/>
        </w:rPr>
        <w:t>《煤矿安全监控系统及检测仪器使用管理规范》（</w:t>
      </w:r>
      <w:r>
        <w:rPr>
          <w:rFonts w:ascii="楷体_GB2312" w:eastAsia="楷体_GB2312"/>
          <w:sz w:val="24"/>
          <w:szCs w:val="24"/>
        </w:rPr>
        <w:t>AQ1029</w:t>
      </w:r>
      <w:r>
        <w:rPr>
          <w:rFonts w:hint="eastAsia" w:ascii="楷体_GB2312" w:eastAsia="楷体_GB2312"/>
          <w:sz w:val="24"/>
          <w:szCs w:val="24"/>
        </w:rPr>
        <w:t>—</w:t>
      </w:r>
      <w:r>
        <w:rPr>
          <w:rFonts w:ascii="楷体_GB2312" w:eastAsia="楷体_GB2312"/>
          <w:sz w:val="24"/>
          <w:szCs w:val="24"/>
        </w:rPr>
        <w:t>20</w:t>
      </w:r>
      <w:r>
        <w:rPr>
          <w:rFonts w:hint="eastAsia" w:ascii="楷体_GB2312" w:eastAsia="楷体_GB2312"/>
          <w:sz w:val="24"/>
          <w:szCs w:val="24"/>
        </w:rPr>
        <w:t>19）6.3.1  煤巷、半煤岩巷和有瓦斯涌出岩巷的掘进工作面甲烷传感器应按图3设置，并实现甲烷风电闭锁。在工作面混合风流处设置甲烷传感器T1，在工作面回风流中设置甲烷传感器T2。</w:t>
      </w:r>
    </w:p>
  </w:footnote>
  <w:footnote w:id="2">
    <w:p>
      <w:pPr>
        <w:pStyle w:val="14"/>
        <w:ind w:firstLine="314"/>
        <w:rPr>
          <w:rFonts w:ascii="楷体_GB2312" w:eastAsia="楷体_GB2312"/>
          <w:sz w:val="24"/>
          <w:szCs w:val="24"/>
        </w:rPr>
      </w:pPr>
      <w:r>
        <w:footnoteRef/>
      </w:r>
      <w:r>
        <w:rPr>
          <w:rFonts w:hint="eastAsia" w:ascii="楷体_GB2312" w:eastAsia="楷体_GB2312"/>
          <w:sz w:val="24"/>
          <w:szCs w:val="24"/>
        </w:rPr>
        <w:t xml:space="preserve"> 《安全生产法》第二十二条：生产经营单位的安全生产管理机构以及安全生产管理人员履行下列职责:（六）制止和纠正违章指挥、强令冒险作业、违反操作规程的行为。</w:t>
      </w:r>
    </w:p>
  </w:footnote>
  <w:footnote w:id="3">
    <w:p>
      <w:pPr>
        <w:pStyle w:val="14"/>
        <w:ind w:firstLine="434"/>
        <w:rPr>
          <w:rFonts w:ascii="楷体_GB2312" w:eastAsia="楷体_GB2312"/>
          <w:sz w:val="24"/>
          <w:szCs w:val="24"/>
        </w:rPr>
      </w:pPr>
      <w:r>
        <w:rPr>
          <w:rFonts w:ascii="楷体_GB2312" w:eastAsia="楷体_GB2312"/>
          <w:sz w:val="24"/>
          <w:szCs w:val="24"/>
        </w:rPr>
        <w:footnoteRef/>
      </w:r>
      <w:r>
        <w:rPr>
          <w:rFonts w:hint="eastAsia" w:ascii="楷体_GB2312" w:eastAsia="楷体_GB2312"/>
          <w:sz w:val="24"/>
          <w:szCs w:val="24"/>
        </w:rPr>
        <w:t xml:space="preserve"> 陕西省应急管理厅 陕西煤矿安全监察局关于印发《陕西省承包煤矿井下生产队伍管理规定（试行）》的通知：二、6. 瓦斯检查、安全检查、采煤机操作、掘进机操作、瓦斯抽采、防突、探放水、监测监控、提升机操作、电气、爆破等特种作业人员配备满足要求（各类特种作业人员至少不少于5人),持证上岗。</w:t>
      </w:r>
      <w:r>
        <w:rPr>
          <w:rFonts w:hint="eastAsia" w:ascii="仿宋_GB2312" w:eastAsia="仿宋_GB2312"/>
        </w:rPr>
        <w:t>《</w:t>
      </w:r>
      <w:r>
        <w:rPr>
          <w:rFonts w:hint="eastAsia" w:ascii="楷体_GB2312" w:eastAsia="楷体_GB2312"/>
          <w:sz w:val="24"/>
          <w:szCs w:val="24"/>
        </w:rPr>
        <w:t>机械化改造安全设施设计》中安全定员中要求安检员9人、瓦斯检查员7人、技术科6人。</w:t>
      </w:r>
    </w:p>
  </w:footnote>
  <w:footnote w:id="4">
    <w:p>
      <w:pPr>
        <w:pStyle w:val="14"/>
        <w:ind w:firstLine="374"/>
        <w:rPr>
          <w:rFonts w:ascii="楷体_GB2312" w:eastAsia="楷体_GB2312"/>
          <w:sz w:val="21"/>
          <w:szCs w:val="21"/>
        </w:rPr>
      </w:pPr>
      <w:r>
        <w:rPr>
          <w:rStyle w:val="23"/>
          <w:rFonts w:ascii="楷体_GB2312" w:eastAsia="楷体_GB2312"/>
          <w:sz w:val="21"/>
          <w:szCs w:val="21"/>
        </w:rPr>
        <w:footnoteRef/>
      </w:r>
      <w:r>
        <w:rPr>
          <w:rStyle w:val="23"/>
          <w:rFonts w:ascii="楷体_GB2312" w:eastAsia="楷体_GB2312"/>
          <w:sz w:val="21"/>
          <w:szCs w:val="21"/>
        </w:rPr>
        <w:t xml:space="preserve"> </w:t>
      </w:r>
      <w:r>
        <w:rPr>
          <w:rFonts w:hint="eastAsia" w:ascii="楷体_GB2312" w:eastAsia="楷体_GB2312"/>
          <w:sz w:val="21"/>
          <w:szCs w:val="21"/>
        </w:rPr>
        <w:t>《中华人民共和国劳动合同法》第三十九条：“劳动者有下列情形之一的，用人单位可以解除劳动合同：……（二）严重违反用人单位的规章制度的；（三）严重失职，营私舞弊，给用人单位造成重大损害的……”</w:t>
      </w:r>
    </w:p>
  </w:footnote>
  <w:footnote w:id="5">
    <w:p>
      <w:pPr>
        <w:pStyle w:val="14"/>
        <w:ind w:firstLine="374"/>
        <w:rPr>
          <w:rFonts w:ascii="楷体_GB2312" w:eastAsia="楷体_GB2312"/>
          <w:sz w:val="21"/>
          <w:szCs w:val="21"/>
        </w:rPr>
      </w:pPr>
      <w:r>
        <w:rPr>
          <w:rFonts w:hint="eastAsia"/>
          <w:sz w:val="21"/>
          <w:szCs w:val="21"/>
        </w:rPr>
        <w:footnoteRef/>
      </w:r>
      <w:r>
        <w:rPr>
          <w:rFonts w:hint="eastAsia" w:ascii="楷体_GB2312" w:eastAsia="楷体_GB2312"/>
          <w:sz w:val="21"/>
          <w:szCs w:val="21"/>
        </w:rPr>
        <w:t>《生产安全事故报告和调查处理条例》第四十条：“……对事故发生单位负有事故责任的有关人员，依法暂停或者撤销其与安全生产有关的执业资格、岗位证书……”</w:t>
      </w:r>
    </w:p>
  </w:footnote>
  <w:footnote w:id="6">
    <w:p>
      <w:pPr>
        <w:pStyle w:val="14"/>
        <w:ind w:firstLine="374"/>
        <w:rPr>
          <w:rFonts w:ascii="楷体_GB2312" w:eastAsia="楷体_GB2312"/>
          <w:sz w:val="21"/>
          <w:szCs w:val="21"/>
        </w:rPr>
      </w:pPr>
      <w:r>
        <w:rPr>
          <w:rFonts w:ascii="楷体_GB2312" w:eastAsia="楷体_GB2312"/>
          <w:sz w:val="21"/>
          <w:szCs w:val="21"/>
        </w:rPr>
        <w:footnoteRef/>
      </w:r>
      <w:r>
        <w:rPr>
          <w:rFonts w:ascii="楷体_GB2312" w:eastAsia="楷体_GB2312"/>
          <w:sz w:val="21"/>
          <w:szCs w:val="21"/>
        </w:rPr>
        <w:t xml:space="preserve"> </w:t>
      </w:r>
      <w:r>
        <w:rPr>
          <w:rFonts w:hint="eastAsia" w:ascii="楷体_GB2312" w:eastAsia="楷体_GB2312"/>
          <w:sz w:val="21"/>
          <w:szCs w:val="21"/>
        </w:rPr>
        <w:t>《中华人民共和国安全生产法》第一百零九条第二项“（二）发生较大事故的，处五十万元以上一百万元以下的罚款；”</w:t>
      </w:r>
    </w:p>
  </w:footnote>
  <w:footnote w:id="7">
    <w:p>
      <w:pPr>
        <w:pStyle w:val="14"/>
        <w:ind w:firstLine="434"/>
      </w:pPr>
      <w:r>
        <w:rPr>
          <w:rFonts w:ascii="楷体_GB2312" w:eastAsia="楷体_GB2312"/>
          <w:sz w:val="24"/>
        </w:rPr>
        <w:footnoteRef/>
      </w:r>
      <w:r>
        <w:rPr>
          <w:rFonts w:ascii="楷体_GB2312" w:eastAsia="楷体_GB2312"/>
          <w:sz w:val="24"/>
        </w:rPr>
        <w:t xml:space="preserve"> </w:t>
      </w:r>
      <w:r>
        <w:rPr>
          <w:rFonts w:hint="eastAsia" w:ascii="楷体_GB2312" w:eastAsia="楷体_GB2312"/>
          <w:sz w:val="24"/>
        </w:rPr>
        <w:t>《生产安全事故罚款处罚规定（试行）》（国家安全监管总局令第13号）第15条第2项规定“（二）造成6人以上10人以下死亡，或者3</w:t>
      </w:r>
      <w:r>
        <w:rPr>
          <w:rFonts w:ascii="楷体_GB2312" w:eastAsia="楷体_GB2312"/>
          <w:sz w:val="24"/>
        </w:rPr>
        <w:t>0</w:t>
      </w:r>
      <w:r>
        <w:rPr>
          <w:rFonts w:hint="eastAsia" w:ascii="楷体_GB2312" w:eastAsia="楷体_GB2312"/>
          <w:sz w:val="24"/>
        </w:rPr>
        <w:t>人以上5</w:t>
      </w:r>
      <w:r>
        <w:rPr>
          <w:rFonts w:ascii="楷体_GB2312" w:eastAsia="楷体_GB2312"/>
          <w:sz w:val="24"/>
        </w:rPr>
        <w:t>0</w:t>
      </w:r>
      <w:r>
        <w:rPr>
          <w:rFonts w:hint="eastAsia" w:ascii="楷体_GB2312" w:eastAsia="楷体_GB2312"/>
          <w:sz w:val="24"/>
        </w:rPr>
        <w:t>人以下重伤，或者3</w:t>
      </w:r>
      <w:r>
        <w:rPr>
          <w:rFonts w:ascii="楷体_GB2312" w:eastAsia="楷体_GB2312"/>
          <w:sz w:val="24"/>
        </w:rPr>
        <w:t>000</w:t>
      </w:r>
      <w:r>
        <w:rPr>
          <w:rFonts w:hint="eastAsia" w:ascii="楷体_GB2312" w:eastAsia="楷体_GB2312"/>
          <w:sz w:val="24"/>
        </w:rPr>
        <w:t>万元以上5000元以下直接经济损失的，处70万元以上1</w:t>
      </w:r>
      <w:r>
        <w:rPr>
          <w:rFonts w:ascii="楷体_GB2312" w:eastAsia="楷体_GB2312"/>
          <w:sz w:val="24"/>
        </w:rPr>
        <w:t>00</w:t>
      </w:r>
      <w:r>
        <w:rPr>
          <w:rFonts w:hint="eastAsia" w:ascii="楷体_GB2312" w:eastAsia="楷体_GB2312"/>
          <w:sz w:val="24"/>
        </w:rPr>
        <w:t>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2EF9E1"/>
    <w:multiLevelType w:val="singleLevel"/>
    <w:tmpl w:val="F02EF9E1"/>
    <w:lvl w:ilvl="0" w:tentative="0">
      <w:start w:val="3"/>
      <w:numFmt w:val="chineseCounting"/>
      <w:lvlText w:val="(%1)"/>
      <w:lvlJc w:val="left"/>
      <w:pPr>
        <w:tabs>
          <w:tab w:val="left" w:pos="312"/>
        </w:tabs>
      </w:pPr>
      <w:rPr>
        <w:rFonts w:hint="eastAsia"/>
      </w:rPr>
    </w:lvl>
  </w:abstractNum>
  <w:abstractNum w:abstractNumId="1">
    <w:nsid w:val="23A92791"/>
    <w:multiLevelType w:val="singleLevel"/>
    <w:tmpl w:val="23A9279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97"/>
  <w:drawingGridVerticalSpacing w:val="317"/>
  <w:displayVerticalDrawingGridEvery w:val="2"/>
  <w:noPunctuationKerning w:val="1"/>
  <w:characterSpacingControl w:val="compressPunctuation"/>
  <w:doNotValidateAgainstSchema/>
  <w:doNotDemarcateInvalidXml/>
  <w:footnotePr>
    <w:numFmt w:val="decimalEnclosedCircleChinese"/>
    <w:footnote w:id="16"/>
    <w:footnote w:id="17"/>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E6"/>
    <w:rsid w:val="00001B78"/>
    <w:rsid w:val="00001D59"/>
    <w:rsid w:val="0000236B"/>
    <w:rsid w:val="000027DA"/>
    <w:rsid w:val="00005A5A"/>
    <w:rsid w:val="00006261"/>
    <w:rsid w:val="000065AA"/>
    <w:rsid w:val="0001058E"/>
    <w:rsid w:val="0001183A"/>
    <w:rsid w:val="00011D3D"/>
    <w:rsid w:val="00011EFD"/>
    <w:rsid w:val="000120E6"/>
    <w:rsid w:val="00012B26"/>
    <w:rsid w:val="00012D50"/>
    <w:rsid w:val="00012F6B"/>
    <w:rsid w:val="00013C76"/>
    <w:rsid w:val="00014E7F"/>
    <w:rsid w:val="00015851"/>
    <w:rsid w:val="000158D1"/>
    <w:rsid w:val="000160FD"/>
    <w:rsid w:val="000168FE"/>
    <w:rsid w:val="0001733B"/>
    <w:rsid w:val="000179A0"/>
    <w:rsid w:val="00017A9E"/>
    <w:rsid w:val="000221DC"/>
    <w:rsid w:val="00022C79"/>
    <w:rsid w:val="00023B02"/>
    <w:rsid w:val="000263B7"/>
    <w:rsid w:val="000278A1"/>
    <w:rsid w:val="000316B2"/>
    <w:rsid w:val="000318FF"/>
    <w:rsid w:val="0003288B"/>
    <w:rsid w:val="00032F8B"/>
    <w:rsid w:val="0003330D"/>
    <w:rsid w:val="000333F6"/>
    <w:rsid w:val="00033AE4"/>
    <w:rsid w:val="00035C95"/>
    <w:rsid w:val="00036118"/>
    <w:rsid w:val="00037F2A"/>
    <w:rsid w:val="000400D1"/>
    <w:rsid w:val="000408BB"/>
    <w:rsid w:val="00041B6E"/>
    <w:rsid w:val="00041DD9"/>
    <w:rsid w:val="00042A51"/>
    <w:rsid w:val="00044BE3"/>
    <w:rsid w:val="00044E11"/>
    <w:rsid w:val="00045C16"/>
    <w:rsid w:val="0004619A"/>
    <w:rsid w:val="00050534"/>
    <w:rsid w:val="0005064A"/>
    <w:rsid w:val="000507D7"/>
    <w:rsid w:val="00051A13"/>
    <w:rsid w:val="0005312B"/>
    <w:rsid w:val="00053485"/>
    <w:rsid w:val="00053516"/>
    <w:rsid w:val="000536A9"/>
    <w:rsid w:val="00054687"/>
    <w:rsid w:val="00055A32"/>
    <w:rsid w:val="00061C47"/>
    <w:rsid w:val="00062885"/>
    <w:rsid w:val="000650E4"/>
    <w:rsid w:val="00065BFB"/>
    <w:rsid w:val="00066B95"/>
    <w:rsid w:val="000700E4"/>
    <w:rsid w:val="000706D7"/>
    <w:rsid w:val="00071FEC"/>
    <w:rsid w:val="00072828"/>
    <w:rsid w:val="000733D2"/>
    <w:rsid w:val="000742E7"/>
    <w:rsid w:val="00076C20"/>
    <w:rsid w:val="00080076"/>
    <w:rsid w:val="000804FB"/>
    <w:rsid w:val="000808C2"/>
    <w:rsid w:val="00081CDE"/>
    <w:rsid w:val="00081D9B"/>
    <w:rsid w:val="000835BC"/>
    <w:rsid w:val="00083D0C"/>
    <w:rsid w:val="00084ED7"/>
    <w:rsid w:val="00085581"/>
    <w:rsid w:val="000862DB"/>
    <w:rsid w:val="00086875"/>
    <w:rsid w:val="00086C26"/>
    <w:rsid w:val="00086F0E"/>
    <w:rsid w:val="00090176"/>
    <w:rsid w:val="0009025C"/>
    <w:rsid w:val="00091225"/>
    <w:rsid w:val="000933EC"/>
    <w:rsid w:val="000962F6"/>
    <w:rsid w:val="00096691"/>
    <w:rsid w:val="000968DF"/>
    <w:rsid w:val="000A0ADC"/>
    <w:rsid w:val="000A0B87"/>
    <w:rsid w:val="000A1403"/>
    <w:rsid w:val="000A1D83"/>
    <w:rsid w:val="000A5435"/>
    <w:rsid w:val="000A60CE"/>
    <w:rsid w:val="000A610F"/>
    <w:rsid w:val="000A6DDF"/>
    <w:rsid w:val="000A7269"/>
    <w:rsid w:val="000A74F0"/>
    <w:rsid w:val="000A79D0"/>
    <w:rsid w:val="000B05AB"/>
    <w:rsid w:val="000B06DC"/>
    <w:rsid w:val="000B1B1B"/>
    <w:rsid w:val="000B51F9"/>
    <w:rsid w:val="000B6027"/>
    <w:rsid w:val="000C06D2"/>
    <w:rsid w:val="000C0EBA"/>
    <w:rsid w:val="000C19CF"/>
    <w:rsid w:val="000C1D7B"/>
    <w:rsid w:val="000C42B3"/>
    <w:rsid w:val="000C51AD"/>
    <w:rsid w:val="000D15E8"/>
    <w:rsid w:val="000D229A"/>
    <w:rsid w:val="000D24CE"/>
    <w:rsid w:val="000D270B"/>
    <w:rsid w:val="000D28F3"/>
    <w:rsid w:val="000D50DC"/>
    <w:rsid w:val="000D7049"/>
    <w:rsid w:val="000E2751"/>
    <w:rsid w:val="000E3EB2"/>
    <w:rsid w:val="000E4B32"/>
    <w:rsid w:val="000E4C1E"/>
    <w:rsid w:val="000E5127"/>
    <w:rsid w:val="000E5256"/>
    <w:rsid w:val="000E599E"/>
    <w:rsid w:val="000E5F37"/>
    <w:rsid w:val="000E640C"/>
    <w:rsid w:val="000F1367"/>
    <w:rsid w:val="000F1B33"/>
    <w:rsid w:val="000F227F"/>
    <w:rsid w:val="000F2FBC"/>
    <w:rsid w:val="000F30F1"/>
    <w:rsid w:val="000F36CC"/>
    <w:rsid w:val="000F3D40"/>
    <w:rsid w:val="000F481C"/>
    <w:rsid w:val="000F7AB5"/>
    <w:rsid w:val="00100316"/>
    <w:rsid w:val="001012A0"/>
    <w:rsid w:val="00101AE1"/>
    <w:rsid w:val="00103134"/>
    <w:rsid w:val="001035DB"/>
    <w:rsid w:val="00104C23"/>
    <w:rsid w:val="0010500F"/>
    <w:rsid w:val="0010534C"/>
    <w:rsid w:val="00106175"/>
    <w:rsid w:val="0011228F"/>
    <w:rsid w:val="00112A87"/>
    <w:rsid w:val="0011435C"/>
    <w:rsid w:val="00115C13"/>
    <w:rsid w:val="0011699F"/>
    <w:rsid w:val="0011797C"/>
    <w:rsid w:val="00117C97"/>
    <w:rsid w:val="0012007B"/>
    <w:rsid w:val="001206BF"/>
    <w:rsid w:val="00120D88"/>
    <w:rsid w:val="0012113C"/>
    <w:rsid w:val="00121DB7"/>
    <w:rsid w:val="0012353F"/>
    <w:rsid w:val="001243B3"/>
    <w:rsid w:val="00125B90"/>
    <w:rsid w:val="001269BB"/>
    <w:rsid w:val="00127B00"/>
    <w:rsid w:val="00131E23"/>
    <w:rsid w:val="0013307E"/>
    <w:rsid w:val="00135390"/>
    <w:rsid w:val="0013615D"/>
    <w:rsid w:val="00137DBE"/>
    <w:rsid w:val="00140A21"/>
    <w:rsid w:val="0014103A"/>
    <w:rsid w:val="00141BC5"/>
    <w:rsid w:val="00143E14"/>
    <w:rsid w:val="0015020E"/>
    <w:rsid w:val="001519D2"/>
    <w:rsid w:val="0015257A"/>
    <w:rsid w:val="00152AB7"/>
    <w:rsid w:val="00153FAD"/>
    <w:rsid w:val="00154191"/>
    <w:rsid w:val="00154374"/>
    <w:rsid w:val="00154911"/>
    <w:rsid w:val="00155BA8"/>
    <w:rsid w:val="00155BCC"/>
    <w:rsid w:val="001566B1"/>
    <w:rsid w:val="00157670"/>
    <w:rsid w:val="00157AE9"/>
    <w:rsid w:val="001608FB"/>
    <w:rsid w:val="00161505"/>
    <w:rsid w:val="00162481"/>
    <w:rsid w:val="001626FB"/>
    <w:rsid w:val="0016304B"/>
    <w:rsid w:val="0016317B"/>
    <w:rsid w:val="00163660"/>
    <w:rsid w:val="0016380B"/>
    <w:rsid w:val="00164948"/>
    <w:rsid w:val="001650BB"/>
    <w:rsid w:val="00166EC9"/>
    <w:rsid w:val="00171AB1"/>
    <w:rsid w:val="00171DEE"/>
    <w:rsid w:val="0017200B"/>
    <w:rsid w:val="00172A27"/>
    <w:rsid w:val="00174916"/>
    <w:rsid w:val="00175EBC"/>
    <w:rsid w:val="00176394"/>
    <w:rsid w:val="00176F65"/>
    <w:rsid w:val="0017786B"/>
    <w:rsid w:val="001803AA"/>
    <w:rsid w:val="001804CC"/>
    <w:rsid w:val="00180D51"/>
    <w:rsid w:val="001830B5"/>
    <w:rsid w:val="00183432"/>
    <w:rsid w:val="001846B4"/>
    <w:rsid w:val="001860AB"/>
    <w:rsid w:val="0018795F"/>
    <w:rsid w:val="001914E0"/>
    <w:rsid w:val="00192BE3"/>
    <w:rsid w:val="00194E33"/>
    <w:rsid w:val="00196F60"/>
    <w:rsid w:val="00197180"/>
    <w:rsid w:val="0019746D"/>
    <w:rsid w:val="001A01EB"/>
    <w:rsid w:val="001A0831"/>
    <w:rsid w:val="001A24AD"/>
    <w:rsid w:val="001A3B5B"/>
    <w:rsid w:val="001A4262"/>
    <w:rsid w:val="001A4A1B"/>
    <w:rsid w:val="001A6DBC"/>
    <w:rsid w:val="001B0764"/>
    <w:rsid w:val="001B0BCD"/>
    <w:rsid w:val="001B0D99"/>
    <w:rsid w:val="001B718B"/>
    <w:rsid w:val="001B7A8D"/>
    <w:rsid w:val="001C14DF"/>
    <w:rsid w:val="001C3FBE"/>
    <w:rsid w:val="001D12A2"/>
    <w:rsid w:val="001D32BA"/>
    <w:rsid w:val="001D39DB"/>
    <w:rsid w:val="001D583A"/>
    <w:rsid w:val="001D5A39"/>
    <w:rsid w:val="001D5C75"/>
    <w:rsid w:val="001D60D6"/>
    <w:rsid w:val="001D7483"/>
    <w:rsid w:val="001E1B17"/>
    <w:rsid w:val="001E2273"/>
    <w:rsid w:val="001E4923"/>
    <w:rsid w:val="001E530E"/>
    <w:rsid w:val="001F1607"/>
    <w:rsid w:val="001F34EF"/>
    <w:rsid w:val="001F586B"/>
    <w:rsid w:val="001F6283"/>
    <w:rsid w:val="002006DE"/>
    <w:rsid w:val="00201675"/>
    <w:rsid w:val="00202D99"/>
    <w:rsid w:val="00203072"/>
    <w:rsid w:val="0020694C"/>
    <w:rsid w:val="00210643"/>
    <w:rsid w:val="002107E2"/>
    <w:rsid w:val="00211AE7"/>
    <w:rsid w:val="0021243B"/>
    <w:rsid w:val="002143EE"/>
    <w:rsid w:val="00214639"/>
    <w:rsid w:val="0021567E"/>
    <w:rsid w:val="002168DF"/>
    <w:rsid w:val="002177DD"/>
    <w:rsid w:val="00223096"/>
    <w:rsid w:val="00223613"/>
    <w:rsid w:val="002251E1"/>
    <w:rsid w:val="002263F5"/>
    <w:rsid w:val="00227EBC"/>
    <w:rsid w:val="00230C20"/>
    <w:rsid w:val="00230E43"/>
    <w:rsid w:val="0023106A"/>
    <w:rsid w:val="0023176B"/>
    <w:rsid w:val="00232BE8"/>
    <w:rsid w:val="00233193"/>
    <w:rsid w:val="002348D5"/>
    <w:rsid w:val="00236159"/>
    <w:rsid w:val="00236206"/>
    <w:rsid w:val="00237EF6"/>
    <w:rsid w:val="00241737"/>
    <w:rsid w:val="0024266F"/>
    <w:rsid w:val="00242F75"/>
    <w:rsid w:val="00244DB9"/>
    <w:rsid w:val="00245826"/>
    <w:rsid w:val="00246D68"/>
    <w:rsid w:val="002502A9"/>
    <w:rsid w:val="0025198F"/>
    <w:rsid w:val="00252B33"/>
    <w:rsid w:val="0025309F"/>
    <w:rsid w:val="00256437"/>
    <w:rsid w:val="0025658C"/>
    <w:rsid w:val="002566C2"/>
    <w:rsid w:val="002616FB"/>
    <w:rsid w:val="00262319"/>
    <w:rsid w:val="002631DF"/>
    <w:rsid w:val="0026492B"/>
    <w:rsid w:val="0026618F"/>
    <w:rsid w:val="00266255"/>
    <w:rsid w:val="00266E1D"/>
    <w:rsid w:val="0026753A"/>
    <w:rsid w:val="00267E30"/>
    <w:rsid w:val="00270B39"/>
    <w:rsid w:val="00271230"/>
    <w:rsid w:val="002721DD"/>
    <w:rsid w:val="0027325F"/>
    <w:rsid w:val="00273AA9"/>
    <w:rsid w:val="00273BD2"/>
    <w:rsid w:val="00273E8F"/>
    <w:rsid w:val="0027448B"/>
    <w:rsid w:val="00275667"/>
    <w:rsid w:val="00276889"/>
    <w:rsid w:val="00277BDE"/>
    <w:rsid w:val="0028040A"/>
    <w:rsid w:val="00280A88"/>
    <w:rsid w:val="00283469"/>
    <w:rsid w:val="0028501A"/>
    <w:rsid w:val="0028540C"/>
    <w:rsid w:val="0028662D"/>
    <w:rsid w:val="002905BE"/>
    <w:rsid w:val="0029095C"/>
    <w:rsid w:val="00290E6B"/>
    <w:rsid w:val="002910A2"/>
    <w:rsid w:val="0029277D"/>
    <w:rsid w:val="00292C88"/>
    <w:rsid w:val="00294D96"/>
    <w:rsid w:val="002953AA"/>
    <w:rsid w:val="00296CF2"/>
    <w:rsid w:val="00297307"/>
    <w:rsid w:val="002978E1"/>
    <w:rsid w:val="00297CCE"/>
    <w:rsid w:val="002A3096"/>
    <w:rsid w:val="002A3CBF"/>
    <w:rsid w:val="002A46E0"/>
    <w:rsid w:val="002A6A5A"/>
    <w:rsid w:val="002B157D"/>
    <w:rsid w:val="002B3B9B"/>
    <w:rsid w:val="002B3C97"/>
    <w:rsid w:val="002B4100"/>
    <w:rsid w:val="002B5859"/>
    <w:rsid w:val="002B6901"/>
    <w:rsid w:val="002B6EBC"/>
    <w:rsid w:val="002C1233"/>
    <w:rsid w:val="002C15FC"/>
    <w:rsid w:val="002C1B03"/>
    <w:rsid w:val="002C2C1D"/>
    <w:rsid w:val="002C5CF0"/>
    <w:rsid w:val="002C7525"/>
    <w:rsid w:val="002C7D13"/>
    <w:rsid w:val="002D3B7C"/>
    <w:rsid w:val="002D5BFC"/>
    <w:rsid w:val="002D5DCC"/>
    <w:rsid w:val="002D619E"/>
    <w:rsid w:val="002D6B68"/>
    <w:rsid w:val="002E0430"/>
    <w:rsid w:val="002E161C"/>
    <w:rsid w:val="002E1AA0"/>
    <w:rsid w:val="002E1D32"/>
    <w:rsid w:val="002E1F6A"/>
    <w:rsid w:val="002E3FAF"/>
    <w:rsid w:val="002E6FBE"/>
    <w:rsid w:val="002E763F"/>
    <w:rsid w:val="002F018C"/>
    <w:rsid w:val="002F0978"/>
    <w:rsid w:val="002F0EBE"/>
    <w:rsid w:val="002F14B0"/>
    <w:rsid w:val="002F389E"/>
    <w:rsid w:val="002F3AA3"/>
    <w:rsid w:val="002F6AB0"/>
    <w:rsid w:val="002F742D"/>
    <w:rsid w:val="00300075"/>
    <w:rsid w:val="00300CA4"/>
    <w:rsid w:val="003016F1"/>
    <w:rsid w:val="00302BD2"/>
    <w:rsid w:val="00303FA7"/>
    <w:rsid w:val="00304E01"/>
    <w:rsid w:val="00304F3C"/>
    <w:rsid w:val="00305D22"/>
    <w:rsid w:val="00306371"/>
    <w:rsid w:val="003070BB"/>
    <w:rsid w:val="00307B63"/>
    <w:rsid w:val="003127E0"/>
    <w:rsid w:val="003129DF"/>
    <w:rsid w:val="00312B2F"/>
    <w:rsid w:val="003134EF"/>
    <w:rsid w:val="00314FB4"/>
    <w:rsid w:val="00315019"/>
    <w:rsid w:val="003168D9"/>
    <w:rsid w:val="003205B6"/>
    <w:rsid w:val="0032145C"/>
    <w:rsid w:val="00322910"/>
    <w:rsid w:val="00324745"/>
    <w:rsid w:val="0032557F"/>
    <w:rsid w:val="00326302"/>
    <w:rsid w:val="0032634C"/>
    <w:rsid w:val="00327ACD"/>
    <w:rsid w:val="003303CF"/>
    <w:rsid w:val="00330C1C"/>
    <w:rsid w:val="00331649"/>
    <w:rsid w:val="003325C7"/>
    <w:rsid w:val="00333587"/>
    <w:rsid w:val="00333975"/>
    <w:rsid w:val="0033480B"/>
    <w:rsid w:val="00334C1F"/>
    <w:rsid w:val="0033508E"/>
    <w:rsid w:val="00335250"/>
    <w:rsid w:val="00335372"/>
    <w:rsid w:val="00335C1E"/>
    <w:rsid w:val="003367C9"/>
    <w:rsid w:val="00337444"/>
    <w:rsid w:val="003421E1"/>
    <w:rsid w:val="00342B7C"/>
    <w:rsid w:val="00346D76"/>
    <w:rsid w:val="00347B41"/>
    <w:rsid w:val="00347F5F"/>
    <w:rsid w:val="00350889"/>
    <w:rsid w:val="003508C3"/>
    <w:rsid w:val="003508FC"/>
    <w:rsid w:val="00351104"/>
    <w:rsid w:val="0035121D"/>
    <w:rsid w:val="003517E9"/>
    <w:rsid w:val="00352220"/>
    <w:rsid w:val="00352347"/>
    <w:rsid w:val="00353F26"/>
    <w:rsid w:val="00354630"/>
    <w:rsid w:val="00354A8C"/>
    <w:rsid w:val="00354CA2"/>
    <w:rsid w:val="00354FDA"/>
    <w:rsid w:val="00355087"/>
    <w:rsid w:val="00356F26"/>
    <w:rsid w:val="00357084"/>
    <w:rsid w:val="003573F7"/>
    <w:rsid w:val="00357A3D"/>
    <w:rsid w:val="00357A9B"/>
    <w:rsid w:val="003601B4"/>
    <w:rsid w:val="00360E78"/>
    <w:rsid w:val="00360EE8"/>
    <w:rsid w:val="0036198B"/>
    <w:rsid w:val="003629A6"/>
    <w:rsid w:val="00362AF7"/>
    <w:rsid w:val="00362B0A"/>
    <w:rsid w:val="00363B67"/>
    <w:rsid w:val="00364490"/>
    <w:rsid w:val="003644BD"/>
    <w:rsid w:val="003654B4"/>
    <w:rsid w:val="00365A11"/>
    <w:rsid w:val="003666F0"/>
    <w:rsid w:val="00366704"/>
    <w:rsid w:val="00367315"/>
    <w:rsid w:val="003713DE"/>
    <w:rsid w:val="0037397D"/>
    <w:rsid w:val="00375C41"/>
    <w:rsid w:val="00377390"/>
    <w:rsid w:val="00377CCD"/>
    <w:rsid w:val="00377F5F"/>
    <w:rsid w:val="003811BB"/>
    <w:rsid w:val="00381820"/>
    <w:rsid w:val="00382B81"/>
    <w:rsid w:val="00383700"/>
    <w:rsid w:val="0038413A"/>
    <w:rsid w:val="003849AF"/>
    <w:rsid w:val="00384DF0"/>
    <w:rsid w:val="003852D2"/>
    <w:rsid w:val="00385A3E"/>
    <w:rsid w:val="00385C9F"/>
    <w:rsid w:val="00386C99"/>
    <w:rsid w:val="00387476"/>
    <w:rsid w:val="00387511"/>
    <w:rsid w:val="00387987"/>
    <w:rsid w:val="003909C9"/>
    <w:rsid w:val="00392A94"/>
    <w:rsid w:val="003933CB"/>
    <w:rsid w:val="003A1472"/>
    <w:rsid w:val="003A160F"/>
    <w:rsid w:val="003A3B55"/>
    <w:rsid w:val="003A4316"/>
    <w:rsid w:val="003A5D68"/>
    <w:rsid w:val="003A66D3"/>
    <w:rsid w:val="003A7C4B"/>
    <w:rsid w:val="003B00B4"/>
    <w:rsid w:val="003B0AAF"/>
    <w:rsid w:val="003B0F4D"/>
    <w:rsid w:val="003B5E59"/>
    <w:rsid w:val="003B7B0B"/>
    <w:rsid w:val="003C0DFF"/>
    <w:rsid w:val="003C1EDB"/>
    <w:rsid w:val="003C2604"/>
    <w:rsid w:val="003C360E"/>
    <w:rsid w:val="003C615B"/>
    <w:rsid w:val="003C6713"/>
    <w:rsid w:val="003D10DF"/>
    <w:rsid w:val="003D5AFB"/>
    <w:rsid w:val="003D60C0"/>
    <w:rsid w:val="003D68C3"/>
    <w:rsid w:val="003D6D70"/>
    <w:rsid w:val="003E114A"/>
    <w:rsid w:val="003E1959"/>
    <w:rsid w:val="003E374E"/>
    <w:rsid w:val="003E4B5E"/>
    <w:rsid w:val="003E5806"/>
    <w:rsid w:val="003E6154"/>
    <w:rsid w:val="003E6CF2"/>
    <w:rsid w:val="003E6F76"/>
    <w:rsid w:val="003F218F"/>
    <w:rsid w:val="003F28AA"/>
    <w:rsid w:val="003F2CAF"/>
    <w:rsid w:val="003F52BE"/>
    <w:rsid w:val="003F6B72"/>
    <w:rsid w:val="00400BE3"/>
    <w:rsid w:val="0040109B"/>
    <w:rsid w:val="00402BF3"/>
    <w:rsid w:val="00403109"/>
    <w:rsid w:val="00403122"/>
    <w:rsid w:val="004038E0"/>
    <w:rsid w:val="004053DB"/>
    <w:rsid w:val="00405AFE"/>
    <w:rsid w:val="00407CF4"/>
    <w:rsid w:val="00410BC0"/>
    <w:rsid w:val="004117E7"/>
    <w:rsid w:val="00411C11"/>
    <w:rsid w:val="00411C7F"/>
    <w:rsid w:val="00412722"/>
    <w:rsid w:val="00414144"/>
    <w:rsid w:val="004142D1"/>
    <w:rsid w:val="00415787"/>
    <w:rsid w:val="004162AC"/>
    <w:rsid w:val="00416ED8"/>
    <w:rsid w:val="00417715"/>
    <w:rsid w:val="004200BC"/>
    <w:rsid w:val="00423176"/>
    <w:rsid w:val="004243AC"/>
    <w:rsid w:val="004265DD"/>
    <w:rsid w:val="00426981"/>
    <w:rsid w:val="00426E17"/>
    <w:rsid w:val="00431042"/>
    <w:rsid w:val="004326B3"/>
    <w:rsid w:val="00434459"/>
    <w:rsid w:val="00434490"/>
    <w:rsid w:val="00434DCA"/>
    <w:rsid w:val="00436FB0"/>
    <w:rsid w:val="0043704D"/>
    <w:rsid w:val="004372C0"/>
    <w:rsid w:val="004405BE"/>
    <w:rsid w:val="00443349"/>
    <w:rsid w:val="00443C98"/>
    <w:rsid w:val="004448D0"/>
    <w:rsid w:val="00446283"/>
    <w:rsid w:val="00451740"/>
    <w:rsid w:val="004549E8"/>
    <w:rsid w:val="00454E9D"/>
    <w:rsid w:val="00455DC0"/>
    <w:rsid w:val="0045606B"/>
    <w:rsid w:val="004560FA"/>
    <w:rsid w:val="0045661C"/>
    <w:rsid w:val="004571FE"/>
    <w:rsid w:val="00460E9F"/>
    <w:rsid w:val="0046111B"/>
    <w:rsid w:val="0046258D"/>
    <w:rsid w:val="004634C1"/>
    <w:rsid w:val="004638E2"/>
    <w:rsid w:val="00463FEC"/>
    <w:rsid w:val="00465164"/>
    <w:rsid w:val="00465537"/>
    <w:rsid w:val="00466231"/>
    <w:rsid w:val="00467B5D"/>
    <w:rsid w:val="00470165"/>
    <w:rsid w:val="004709D2"/>
    <w:rsid w:val="004712CE"/>
    <w:rsid w:val="004715F0"/>
    <w:rsid w:val="0047227F"/>
    <w:rsid w:val="0047273D"/>
    <w:rsid w:val="004734E6"/>
    <w:rsid w:val="00473AFB"/>
    <w:rsid w:val="004760AF"/>
    <w:rsid w:val="004760FD"/>
    <w:rsid w:val="004762CA"/>
    <w:rsid w:val="00481589"/>
    <w:rsid w:val="00484BBB"/>
    <w:rsid w:val="00484F48"/>
    <w:rsid w:val="004854C6"/>
    <w:rsid w:val="00486730"/>
    <w:rsid w:val="004913EB"/>
    <w:rsid w:val="00491513"/>
    <w:rsid w:val="00491961"/>
    <w:rsid w:val="00492057"/>
    <w:rsid w:val="0049212F"/>
    <w:rsid w:val="00495B05"/>
    <w:rsid w:val="00495D0C"/>
    <w:rsid w:val="00496DC6"/>
    <w:rsid w:val="00496FEB"/>
    <w:rsid w:val="00497BC7"/>
    <w:rsid w:val="004A1E61"/>
    <w:rsid w:val="004A302A"/>
    <w:rsid w:val="004A5321"/>
    <w:rsid w:val="004A6151"/>
    <w:rsid w:val="004B0AE8"/>
    <w:rsid w:val="004B18A5"/>
    <w:rsid w:val="004B1A37"/>
    <w:rsid w:val="004B2025"/>
    <w:rsid w:val="004B3D11"/>
    <w:rsid w:val="004B49A5"/>
    <w:rsid w:val="004B4DA6"/>
    <w:rsid w:val="004B6893"/>
    <w:rsid w:val="004B6CD1"/>
    <w:rsid w:val="004B6E99"/>
    <w:rsid w:val="004B7451"/>
    <w:rsid w:val="004B7617"/>
    <w:rsid w:val="004C1A5F"/>
    <w:rsid w:val="004C2859"/>
    <w:rsid w:val="004C44F0"/>
    <w:rsid w:val="004C4662"/>
    <w:rsid w:val="004C5B1A"/>
    <w:rsid w:val="004D22B5"/>
    <w:rsid w:val="004D4954"/>
    <w:rsid w:val="004D546B"/>
    <w:rsid w:val="004D5ED6"/>
    <w:rsid w:val="004D62BE"/>
    <w:rsid w:val="004D6CFD"/>
    <w:rsid w:val="004D6DA7"/>
    <w:rsid w:val="004D6F21"/>
    <w:rsid w:val="004D739F"/>
    <w:rsid w:val="004D7AA9"/>
    <w:rsid w:val="004D7EDA"/>
    <w:rsid w:val="004E0C8B"/>
    <w:rsid w:val="004E1462"/>
    <w:rsid w:val="004E375F"/>
    <w:rsid w:val="004E3C86"/>
    <w:rsid w:val="004E3FF7"/>
    <w:rsid w:val="004E461A"/>
    <w:rsid w:val="004E5829"/>
    <w:rsid w:val="004E58DD"/>
    <w:rsid w:val="004E65C6"/>
    <w:rsid w:val="004E79DC"/>
    <w:rsid w:val="004E7D1D"/>
    <w:rsid w:val="004E7DB5"/>
    <w:rsid w:val="004F00AC"/>
    <w:rsid w:val="004F0129"/>
    <w:rsid w:val="004F08EC"/>
    <w:rsid w:val="004F21EF"/>
    <w:rsid w:val="004F29DA"/>
    <w:rsid w:val="004F40BF"/>
    <w:rsid w:val="004F461B"/>
    <w:rsid w:val="004F50BE"/>
    <w:rsid w:val="004F57E4"/>
    <w:rsid w:val="004F72E6"/>
    <w:rsid w:val="004F7440"/>
    <w:rsid w:val="004F7A33"/>
    <w:rsid w:val="0050051F"/>
    <w:rsid w:val="00501C85"/>
    <w:rsid w:val="00501D98"/>
    <w:rsid w:val="005023FE"/>
    <w:rsid w:val="005033A3"/>
    <w:rsid w:val="00503F14"/>
    <w:rsid w:val="00505F3D"/>
    <w:rsid w:val="00506340"/>
    <w:rsid w:val="00507593"/>
    <w:rsid w:val="00507964"/>
    <w:rsid w:val="0051011D"/>
    <w:rsid w:val="00511713"/>
    <w:rsid w:val="005126EF"/>
    <w:rsid w:val="0051275B"/>
    <w:rsid w:val="0051306B"/>
    <w:rsid w:val="00513C2B"/>
    <w:rsid w:val="0051547D"/>
    <w:rsid w:val="00515C78"/>
    <w:rsid w:val="005164D0"/>
    <w:rsid w:val="005179EA"/>
    <w:rsid w:val="00520F8A"/>
    <w:rsid w:val="005213B6"/>
    <w:rsid w:val="00523887"/>
    <w:rsid w:val="00523BB7"/>
    <w:rsid w:val="00523DB9"/>
    <w:rsid w:val="00524D92"/>
    <w:rsid w:val="0052520B"/>
    <w:rsid w:val="00525BEE"/>
    <w:rsid w:val="005278E8"/>
    <w:rsid w:val="00530722"/>
    <w:rsid w:val="00530ACD"/>
    <w:rsid w:val="00531A72"/>
    <w:rsid w:val="00532475"/>
    <w:rsid w:val="0053261D"/>
    <w:rsid w:val="0053268C"/>
    <w:rsid w:val="00532897"/>
    <w:rsid w:val="00533AEF"/>
    <w:rsid w:val="0053659B"/>
    <w:rsid w:val="0053666E"/>
    <w:rsid w:val="00541EDB"/>
    <w:rsid w:val="005436E5"/>
    <w:rsid w:val="00543773"/>
    <w:rsid w:val="0055099F"/>
    <w:rsid w:val="00552FA0"/>
    <w:rsid w:val="00554A79"/>
    <w:rsid w:val="00554D03"/>
    <w:rsid w:val="00561EAB"/>
    <w:rsid w:val="005620FB"/>
    <w:rsid w:val="0056225F"/>
    <w:rsid w:val="00564140"/>
    <w:rsid w:val="00565A8C"/>
    <w:rsid w:val="0056769C"/>
    <w:rsid w:val="005711B5"/>
    <w:rsid w:val="005712C3"/>
    <w:rsid w:val="00574EAD"/>
    <w:rsid w:val="00575225"/>
    <w:rsid w:val="0057553E"/>
    <w:rsid w:val="00575C84"/>
    <w:rsid w:val="00576A7B"/>
    <w:rsid w:val="00576B12"/>
    <w:rsid w:val="00576F9C"/>
    <w:rsid w:val="00577B9C"/>
    <w:rsid w:val="00580753"/>
    <w:rsid w:val="0058131C"/>
    <w:rsid w:val="0058474A"/>
    <w:rsid w:val="00584A5D"/>
    <w:rsid w:val="00584BD8"/>
    <w:rsid w:val="0058545D"/>
    <w:rsid w:val="005857DD"/>
    <w:rsid w:val="005876B7"/>
    <w:rsid w:val="0059005B"/>
    <w:rsid w:val="00590E74"/>
    <w:rsid w:val="00590F72"/>
    <w:rsid w:val="0059190D"/>
    <w:rsid w:val="005923DD"/>
    <w:rsid w:val="005933D8"/>
    <w:rsid w:val="00595146"/>
    <w:rsid w:val="005952D9"/>
    <w:rsid w:val="005953B3"/>
    <w:rsid w:val="005961AE"/>
    <w:rsid w:val="00596EEE"/>
    <w:rsid w:val="00597886"/>
    <w:rsid w:val="005A0145"/>
    <w:rsid w:val="005A1A62"/>
    <w:rsid w:val="005A236A"/>
    <w:rsid w:val="005A28C6"/>
    <w:rsid w:val="005A3E0A"/>
    <w:rsid w:val="005A4FF7"/>
    <w:rsid w:val="005A5AFD"/>
    <w:rsid w:val="005A5DBD"/>
    <w:rsid w:val="005A7B45"/>
    <w:rsid w:val="005B02C8"/>
    <w:rsid w:val="005B21B5"/>
    <w:rsid w:val="005B43F9"/>
    <w:rsid w:val="005B474B"/>
    <w:rsid w:val="005B6932"/>
    <w:rsid w:val="005B7043"/>
    <w:rsid w:val="005C01E2"/>
    <w:rsid w:val="005C0AC2"/>
    <w:rsid w:val="005C1725"/>
    <w:rsid w:val="005C1822"/>
    <w:rsid w:val="005C1BCD"/>
    <w:rsid w:val="005C1FFC"/>
    <w:rsid w:val="005C468F"/>
    <w:rsid w:val="005C4B37"/>
    <w:rsid w:val="005C6F16"/>
    <w:rsid w:val="005C7E7E"/>
    <w:rsid w:val="005D18BB"/>
    <w:rsid w:val="005D32B1"/>
    <w:rsid w:val="005D7FD2"/>
    <w:rsid w:val="005E0CFB"/>
    <w:rsid w:val="005E132D"/>
    <w:rsid w:val="005E2C72"/>
    <w:rsid w:val="005E5A42"/>
    <w:rsid w:val="005E5B92"/>
    <w:rsid w:val="005E5C4B"/>
    <w:rsid w:val="005E5CBD"/>
    <w:rsid w:val="005E698E"/>
    <w:rsid w:val="005E730A"/>
    <w:rsid w:val="005E76CF"/>
    <w:rsid w:val="005E7C53"/>
    <w:rsid w:val="005E7DEE"/>
    <w:rsid w:val="005F0BAD"/>
    <w:rsid w:val="005F14F5"/>
    <w:rsid w:val="005F2853"/>
    <w:rsid w:val="005F3531"/>
    <w:rsid w:val="005F3CF4"/>
    <w:rsid w:val="005F4282"/>
    <w:rsid w:val="005F534D"/>
    <w:rsid w:val="005F5F47"/>
    <w:rsid w:val="005F647A"/>
    <w:rsid w:val="005F668A"/>
    <w:rsid w:val="005F6CC9"/>
    <w:rsid w:val="005F79C4"/>
    <w:rsid w:val="00601021"/>
    <w:rsid w:val="00602303"/>
    <w:rsid w:val="0060264D"/>
    <w:rsid w:val="00602908"/>
    <w:rsid w:val="006035A4"/>
    <w:rsid w:val="00603E78"/>
    <w:rsid w:val="0060408F"/>
    <w:rsid w:val="00604186"/>
    <w:rsid w:val="006045A3"/>
    <w:rsid w:val="0060555E"/>
    <w:rsid w:val="006056BE"/>
    <w:rsid w:val="00605BA8"/>
    <w:rsid w:val="006068BD"/>
    <w:rsid w:val="006115AD"/>
    <w:rsid w:val="006125B9"/>
    <w:rsid w:val="00612C5B"/>
    <w:rsid w:val="00613ACC"/>
    <w:rsid w:val="00613FC2"/>
    <w:rsid w:val="00614172"/>
    <w:rsid w:val="006162E6"/>
    <w:rsid w:val="006205BA"/>
    <w:rsid w:val="006235D1"/>
    <w:rsid w:val="00623B2B"/>
    <w:rsid w:val="00624F6B"/>
    <w:rsid w:val="00626A03"/>
    <w:rsid w:val="006304AA"/>
    <w:rsid w:val="00631C93"/>
    <w:rsid w:val="00631CBD"/>
    <w:rsid w:val="006321CE"/>
    <w:rsid w:val="006337BF"/>
    <w:rsid w:val="0063693A"/>
    <w:rsid w:val="00637C81"/>
    <w:rsid w:val="006406D2"/>
    <w:rsid w:val="00640A7F"/>
    <w:rsid w:val="00641098"/>
    <w:rsid w:val="0064336A"/>
    <w:rsid w:val="0064427D"/>
    <w:rsid w:val="006454F8"/>
    <w:rsid w:val="006468CE"/>
    <w:rsid w:val="00647070"/>
    <w:rsid w:val="0065295E"/>
    <w:rsid w:val="00656F29"/>
    <w:rsid w:val="00656FE0"/>
    <w:rsid w:val="00660649"/>
    <w:rsid w:val="0066206A"/>
    <w:rsid w:val="00662206"/>
    <w:rsid w:val="0066349E"/>
    <w:rsid w:val="00664B45"/>
    <w:rsid w:val="006652CA"/>
    <w:rsid w:val="006659ED"/>
    <w:rsid w:val="00665EE3"/>
    <w:rsid w:val="00671AFC"/>
    <w:rsid w:val="00671BC3"/>
    <w:rsid w:val="0067295C"/>
    <w:rsid w:val="00672BE9"/>
    <w:rsid w:val="00672C2E"/>
    <w:rsid w:val="00673A65"/>
    <w:rsid w:val="00674479"/>
    <w:rsid w:val="0067489E"/>
    <w:rsid w:val="00675BEE"/>
    <w:rsid w:val="00676F39"/>
    <w:rsid w:val="00677B6C"/>
    <w:rsid w:val="00677F9A"/>
    <w:rsid w:val="00681125"/>
    <w:rsid w:val="00681354"/>
    <w:rsid w:val="00683FE2"/>
    <w:rsid w:val="00684A51"/>
    <w:rsid w:val="00684F81"/>
    <w:rsid w:val="006850B6"/>
    <w:rsid w:val="006859FC"/>
    <w:rsid w:val="0068667C"/>
    <w:rsid w:val="00687E20"/>
    <w:rsid w:val="0069014A"/>
    <w:rsid w:val="00690C5C"/>
    <w:rsid w:val="00690E42"/>
    <w:rsid w:val="0069127D"/>
    <w:rsid w:val="006918BA"/>
    <w:rsid w:val="0069266A"/>
    <w:rsid w:val="00692A9C"/>
    <w:rsid w:val="00693A83"/>
    <w:rsid w:val="00694B8F"/>
    <w:rsid w:val="006973C5"/>
    <w:rsid w:val="00697E1D"/>
    <w:rsid w:val="006A1477"/>
    <w:rsid w:val="006A247D"/>
    <w:rsid w:val="006A267E"/>
    <w:rsid w:val="006A2F83"/>
    <w:rsid w:val="006A3843"/>
    <w:rsid w:val="006A520C"/>
    <w:rsid w:val="006B262C"/>
    <w:rsid w:val="006B3D06"/>
    <w:rsid w:val="006B6EFB"/>
    <w:rsid w:val="006C05F0"/>
    <w:rsid w:val="006C1224"/>
    <w:rsid w:val="006C1825"/>
    <w:rsid w:val="006C2D97"/>
    <w:rsid w:val="006C6B90"/>
    <w:rsid w:val="006C6E30"/>
    <w:rsid w:val="006C716E"/>
    <w:rsid w:val="006C78AD"/>
    <w:rsid w:val="006D04EC"/>
    <w:rsid w:val="006D06D8"/>
    <w:rsid w:val="006D2181"/>
    <w:rsid w:val="006D784D"/>
    <w:rsid w:val="006D7A58"/>
    <w:rsid w:val="006D7BF4"/>
    <w:rsid w:val="006E22DD"/>
    <w:rsid w:val="006E2665"/>
    <w:rsid w:val="006E5328"/>
    <w:rsid w:val="006E78CB"/>
    <w:rsid w:val="006E79C6"/>
    <w:rsid w:val="006F01DB"/>
    <w:rsid w:val="006F21C9"/>
    <w:rsid w:val="006F223B"/>
    <w:rsid w:val="006F2AF0"/>
    <w:rsid w:val="006F305F"/>
    <w:rsid w:val="006F378B"/>
    <w:rsid w:val="006F3D0D"/>
    <w:rsid w:val="006F47BB"/>
    <w:rsid w:val="006F49A5"/>
    <w:rsid w:val="006F5B45"/>
    <w:rsid w:val="006F5E6B"/>
    <w:rsid w:val="006F5F5A"/>
    <w:rsid w:val="006F69D9"/>
    <w:rsid w:val="006F7B90"/>
    <w:rsid w:val="00701D6E"/>
    <w:rsid w:val="0070281A"/>
    <w:rsid w:val="00702C4E"/>
    <w:rsid w:val="00703096"/>
    <w:rsid w:val="00703120"/>
    <w:rsid w:val="007046BF"/>
    <w:rsid w:val="00704DE8"/>
    <w:rsid w:val="0071036C"/>
    <w:rsid w:val="00713348"/>
    <w:rsid w:val="00714212"/>
    <w:rsid w:val="0071431C"/>
    <w:rsid w:val="00721429"/>
    <w:rsid w:val="00722042"/>
    <w:rsid w:val="00722FD7"/>
    <w:rsid w:val="00724063"/>
    <w:rsid w:val="00726EEB"/>
    <w:rsid w:val="00727094"/>
    <w:rsid w:val="00730063"/>
    <w:rsid w:val="00730BED"/>
    <w:rsid w:val="007336E0"/>
    <w:rsid w:val="00734F70"/>
    <w:rsid w:val="0073785F"/>
    <w:rsid w:val="00740C36"/>
    <w:rsid w:val="007415D4"/>
    <w:rsid w:val="00742F8D"/>
    <w:rsid w:val="00743BDA"/>
    <w:rsid w:val="00744E95"/>
    <w:rsid w:val="00745028"/>
    <w:rsid w:val="00745BF7"/>
    <w:rsid w:val="0074678C"/>
    <w:rsid w:val="00746969"/>
    <w:rsid w:val="00747483"/>
    <w:rsid w:val="007517E6"/>
    <w:rsid w:val="0075534B"/>
    <w:rsid w:val="00755685"/>
    <w:rsid w:val="0075631D"/>
    <w:rsid w:val="007576BB"/>
    <w:rsid w:val="0076048A"/>
    <w:rsid w:val="00761E59"/>
    <w:rsid w:val="00762846"/>
    <w:rsid w:val="0076382B"/>
    <w:rsid w:val="00764060"/>
    <w:rsid w:val="007640AC"/>
    <w:rsid w:val="00766855"/>
    <w:rsid w:val="00767D31"/>
    <w:rsid w:val="00771304"/>
    <w:rsid w:val="007748A6"/>
    <w:rsid w:val="00774EC7"/>
    <w:rsid w:val="0077595C"/>
    <w:rsid w:val="00776451"/>
    <w:rsid w:val="00781460"/>
    <w:rsid w:val="0078249D"/>
    <w:rsid w:val="00782570"/>
    <w:rsid w:val="00782748"/>
    <w:rsid w:val="00785F1D"/>
    <w:rsid w:val="0079117B"/>
    <w:rsid w:val="00791679"/>
    <w:rsid w:val="007921CA"/>
    <w:rsid w:val="00792528"/>
    <w:rsid w:val="00792694"/>
    <w:rsid w:val="00793CD8"/>
    <w:rsid w:val="00795E7B"/>
    <w:rsid w:val="00796E6B"/>
    <w:rsid w:val="00797A63"/>
    <w:rsid w:val="00797D51"/>
    <w:rsid w:val="007A0882"/>
    <w:rsid w:val="007A0C44"/>
    <w:rsid w:val="007A1866"/>
    <w:rsid w:val="007A1DF6"/>
    <w:rsid w:val="007A2514"/>
    <w:rsid w:val="007A2E17"/>
    <w:rsid w:val="007A5347"/>
    <w:rsid w:val="007A6265"/>
    <w:rsid w:val="007A6646"/>
    <w:rsid w:val="007A68D0"/>
    <w:rsid w:val="007A7911"/>
    <w:rsid w:val="007A7BBB"/>
    <w:rsid w:val="007B05D1"/>
    <w:rsid w:val="007B08D7"/>
    <w:rsid w:val="007B19F7"/>
    <w:rsid w:val="007B1B55"/>
    <w:rsid w:val="007B22E7"/>
    <w:rsid w:val="007B2366"/>
    <w:rsid w:val="007B2474"/>
    <w:rsid w:val="007B50E3"/>
    <w:rsid w:val="007B5A69"/>
    <w:rsid w:val="007B5EDC"/>
    <w:rsid w:val="007B669B"/>
    <w:rsid w:val="007B714F"/>
    <w:rsid w:val="007B7281"/>
    <w:rsid w:val="007C1331"/>
    <w:rsid w:val="007C14E8"/>
    <w:rsid w:val="007C1DB9"/>
    <w:rsid w:val="007C214D"/>
    <w:rsid w:val="007C21AA"/>
    <w:rsid w:val="007C267E"/>
    <w:rsid w:val="007C6341"/>
    <w:rsid w:val="007C7CCB"/>
    <w:rsid w:val="007C7D79"/>
    <w:rsid w:val="007D2A78"/>
    <w:rsid w:val="007D3BDD"/>
    <w:rsid w:val="007D4D0D"/>
    <w:rsid w:val="007D5063"/>
    <w:rsid w:val="007D59A3"/>
    <w:rsid w:val="007D6C30"/>
    <w:rsid w:val="007D6E7D"/>
    <w:rsid w:val="007D7C32"/>
    <w:rsid w:val="007E67F0"/>
    <w:rsid w:val="007E6F3F"/>
    <w:rsid w:val="007E756A"/>
    <w:rsid w:val="007E772C"/>
    <w:rsid w:val="007F03C8"/>
    <w:rsid w:val="007F0A0D"/>
    <w:rsid w:val="007F1F96"/>
    <w:rsid w:val="007F20E5"/>
    <w:rsid w:val="007F292C"/>
    <w:rsid w:val="007F3C8A"/>
    <w:rsid w:val="007F5341"/>
    <w:rsid w:val="008018A1"/>
    <w:rsid w:val="00801AFE"/>
    <w:rsid w:val="00803BB1"/>
    <w:rsid w:val="00803BB4"/>
    <w:rsid w:val="00804E62"/>
    <w:rsid w:val="00806289"/>
    <w:rsid w:val="0080697A"/>
    <w:rsid w:val="00806C28"/>
    <w:rsid w:val="00806CD4"/>
    <w:rsid w:val="00807917"/>
    <w:rsid w:val="00807ED1"/>
    <w:rsid w:val="00810C26"/>
    <w:rsid w:val="00810D88"/>
    <w:rsid w:val="00811903"/>
    <w:rsid w:val="008133DF"/>
    <w:rsid w:val="00814443"/>
    <w:rsid w:val="0081482E"/>
    <w:rsid w:val="00814E2E"/>
    <w:rsid w:val="008150D6"/>
    <w:rsid w:val="0081726B"/>
    <w:rsid w:val="00817800"/>
    <w:rsid w:val="00820B65"/>
    <w:rsid w:val="008211B3"/>
    <w:rsid w:val="0082158E"/>
    <w:rsid w:val="00821726"/>
    <w:rsid w:val="00822F58"/>
    <w:rsid w:val="0082333F"/>
    <w:rsid w:val="00823B10"/>
    <w:rsid w:val="00824A28"/>
    <w:rsid w:val="00824AA5"/>
    <w:rsid w:val="008251A3"/>
    <w:rsid w:val="0082569F"/>
    <w:rsid w:val="00826604"/>
    <w:rsid w:val="00827A80"/>
    <w:rsid w:val="00830233"/>
    <w:rsid w:val="00830512"/>
    <w:rsid w:val="00830B15"/>
    <w:rsid w:val="00830D26"/>
    <w:rsid w:val="00832ADD"/>
    <w:rsid w:val="0083507E"/>
    <w:rsid w:val="0083510E"/>
    <w:rsid w:val="008355A4"/>
    <w:rsid w:val="0083601A"/>
    <w:rsid w:val="00837D70"/>
    <w:rsid w:val="00837EDB"/>
    <w:rsid w:val="0084053A"/>
    <w:rsid w:val="008405D4"/>
    <w:rsid w:val="00840FE2"/>
    <w:rsid w:val="008413E0"/>
    <w:rsid w:val="00843807"/>
    <w:rsid w:val="00843EE0"/>
    <w:rsid w:val="00844220"/>
    <w:rsid w:val="00844E33"/>
    <w:rsid w:val="0084622A"/>
    <w:rsid w:val="008465A9"/>
    <w:rsid w:val="00847232"/>
    <w:rsid w:val="0085082F"/>
    <w:rsid w:val="00850974"/>
    <w:rsid w:val="00850FE1"/>
    <w:rsid w:val="00851623"/>
    <w:rsid w:val="00852B7D"/>
    <w:rsid w:val="00853C74"/>
    <w:rsid w:val="00854577"/>
    <w:rsid w:val="0085512A"/>
    <w:rsid w:val="00855C33"/>
    <w:rsid w:val="00855F8A"/>
    <w:rsid w:val="00857205"/>
    <w:rsid w:val="00857458"/>
    <w:rsid w:val="00860AC3"/>
    <w:rsid w:val="0086255F"/>
    <w:rsid w:val="0086390E"/>
    <w:rsid w:val="00867458"/>
    <w:rsid w:val="0087044F"/>
    <w:rsid w:val="00871F84"/>
    <w:rsid w:val="00874DFE"/>
    <w:rsid w:val="00875222"/>
    <w:rsid w:val="00875459"/>
    <w:rsid w:val="00875B1C"/>
    <w:rsid w:val="0087728A"/>
    <w:rsid w:val="0088132E"/>
    <w:rsid w:val="00883216"/>
    <w:rsid w:val="0088728B"/>
    <w:rsid w:val="008904B7"/>
    <w:rsid w:val="00890A0D"/>
    <w:rsid w:val="00891196"/>
    <w:rsid w:val="008911FC"/>
    <w:rsid w:val="008918E2"/>
    <w:rsid w:val="00891E95"/>
    <w:rsid w:val="008928F6"/>
    <w:rsid w:val="00895006"/>
    <w:rsid w:val="0089534B"/>
    <w:rsid w:val="008957D9"/>
    <w:rsid w:val="00896D7F"/>
    <w:rsid w:val="008A06AF"/>
    <w:rsid w:val="008A1101"/>
    <w:rsid w:val="008A1EBC"/>
    <w:rsid w:val="008A26D8"/>
    <w:rsid w:val="008A2FB0"/>
    <w:rsid w:val="008A381D"/>
    <w:rsid w:val="008A4157"/>
    <w:rsid w:val="008A4C61"/>
    <w:rsid w:val="008A5B54"/>
    <w:rsid w:val="008B0325"/>
    <w:rsid w:val="008B0661"/>
    <w:rsid w:val="008B0B7B"/>
    <w:rsid w:val="008B0D6E"/>
    <w:rsid w:val="008B23CB"/>
    <w:rsid w:val="008B3253"/>
    <w:rsid w:val="008B5310"/>
    <w:rsid w:val="008B59CE"/>
    <w:rsid w:val="008B5C10"/>
    <w:rsid w:val="008B63BA"/>
    <w:rsid w:val="008B7985"/>
    <w:rsid w:val="008C122A"/>
    <w:rsid w:val="008C3AB8"/>
    <w:rsid w:val="008C4A32"/>
    <w:rsid w:val="008C7ED6"/>
    <w:rsid w:val="008D079F"/>
    <w:rsid w:val="008D477F"/>
    <w:rsid w:val="008D581C"/>
    <w:rsid w:val="008D698A"/>
    <w:rsid w:val="008D6F40"/>
    <w:rsid w:val="008E0916"/>
    <w:rsid w:val="008E26FA"/>
    <w:rsid w:val="008E56D1"/>
    <w:rsid w:val="008E6A72"/>
    <w:rsid w:val="008E7C8B"/>
    <w:rsid w:val="008F01A0"/>
    <w:rsid w:val="008F1612"/>
    <w:rsid w:val="008F1DEF"/>
    <w:rsid w:val="008F2A13"/>
    <w:rsid w:val="008F34A7"/>
    <w:rsid w:val="00900219"/>
    <w:rsid w:val="00900D1F"/>
    <w:rsid w:val="009040A0"/>
    <w:rsid w:val="009046BB"/>
    <w:rsid w:val="00905F5A"/>
    <w:rsid w:val="00914A76"/>
    <w:rsid w:val="00914AD0"/>
    <w:rsid w:val="009168BC"/>
    <w:rsid w:val="00921B99"/>
    <w:rsid w:val="009226F6"/>
    <w:rsid w:val="00922FD6"/>
    <w:rsid w:val="00923AA5"/>
    <w:rsid w:val="00930B82"/>
    <w:rsid w:val="00930FD4"/>
    <w:rsid w:val="0093164A"/>
    <w:rsid w:val="009322E1"/>
    <w:rsid w:val="00933FC8"/>
    <w:rsid w:val="00934A2F"/>
    <w:rsid w:val="009350DF"/>
    <w:rsid w:val="009378DE"/>
    <w:rsid w:val="00937E08"/>
    <w:rsid w:val="00944DA4"/>
    <w:rsid w:val="00945313"/>
    <w:rsid w:val="0094571B"/>
    <w:rsid w:val="00946422"/>
    <w:rsid w:val="0094775F"/>
    <w:rsid w:val="009512C8"/>
    <w:rsid w:val="0095138D"/>
    <w:rsid w:val="009524D5"/>
    <w:rsid w:val="00952F0D"/>
    <w:rsid w:val="00953986"/>
    <w:rsid w:val="00955CBD"/>
    <w:rsid w:val="00955CD9"/>
    <w:rsid w:val="009566C3"/>
    <w:rsid w:val="00965D65"/>
    <w:rsid w:val="009673F1"/>
    <w:rsid w:val="00967435"/>
    <w:rsid w:val="009679FD"/>
    <w:rsid w:val="009701A5"/>
    <w:rsid w:val="009718ED"/>
    <w:rsid w:val="00973AAC"/>
    <w:rsid w:val="00976F84"/>
    <w:rsid w:val="009770CC"/>
    <w:rsid w:val="00977A65"/>
    <w:rsid w:val="0098249C"/>
    <w:rsid w:val="009834B9"/>
    <w:rsid w:val="00985EFD"/>
    <w:rsid w:val="009868E8"/>
    <w:rsid w:val="009953F3"/>
    <w:rsid w:val="00995C90"/>
    <w:rsid w:val="00995CC1"/>
    <w:rsid w:val="00997248"/>
    <w:rsid w:val="009A005F"/>
    <w:rsid w:val="009A2221"/>
    <w:rsid w:val="009A22CE"/>
    <w:rsid w:val="009A327B"/>
    <w:rsid w:val="009A3447"/>
    <w:rsid w:val="009A45EB"/>
    <w:rsid w:val="009A463A"/>
    <w:rsid w:val="009A52D1"/>
    <w:rsid w:val="009B0EF6"/>
    <w:rsid w:val="009B11E7"/>
    <w:rsid w:val="009B17F7"/>
    <w:rsid w:val="009B1BE4"/>
    <w:rsid w:val="009B1C33"/>
    <w:rsid w:val="009B28C1"/>
    <w:rsid w:val="009B2B9E"/>
    <w:rsid w:val="009B4B39"/>
    <w:rsid w:val="009B5278"/>
    <w:rsid w:val="009B5A09"/>
    <w:rsid w:val="009C0074"/>
    <w:rsid w:val="009C008E"/>
    <w:rsid w:val="009C1B1A"/>
    <w:rsid w:val="009C20FE"/>
    <w:rsid w:val="009C3004"/>
    <w:rsid w:val="009C330D"/>
    <w:rsid w:val="009C3D3E"/>
    <w:rsid w:val="009C4166"/>
    <w:rsid w:val="009C4703"/>
    <w:rsid w:val="009C5EF9"/>
    <w:rsid w:val="009C74D0"/>
    <w:rsid w:val="009D152E"/>
    <w:rsid w:val="009D1891"/>
    <w:rsid w:val="009D6049"/>
    <w:rsid w:val="009E00B0"/>
    <w:rsid w:val="009E162A"/>
    <w:rsid w:val="009E17CB"/>
    <w:rsid w:val="009E1AED"/>
    <w:rsid w:val="009E2004"/>
    <w:rsid w:val="009E2974"/>
    <w:rsid w:val="009E2FFF"/>
    <w:rsid w:val="009E3DEA"/>
    <w:rsid w:val="009E415A"/>
    <w:rsid w:val="009E57C6"/>
    <w:rsid w:val="009E5ACD"/>
    <w:rsid w:val="009E6795"/>
    <w:rsid w:val="009E757A"/>
    <w:rsid w:val="009F07CF"/>
    <w:rsid w:val="009F1FDE"/>
    <w:rsid w:val="009F26C5"/>
    <w:rsid w:val="009F4057"/>
    <w:rsid w:val="009F44DE"/>
    <w:rsid w:val="009F6409"/>
    <w:rsid w:val="009F6A7B"/>
    <w:rsid w:val="009F71F9"/>
    <w:rsid w:val="009F724D"/>
    <w:rsid w:val="00A0273E"/>
    <w:rsid w:val="00A03BFF"/>
    <w:rsid w:val="00A03F1B"/>
    <w:rsid w:val="00A04010"/>
    <w:rsid w:val="00A04317"/>
    <w:rsid w:val="00A04664"/>
    <w:rsid w:val="00A05DAF"/>
    <w:rsid w:val="00A0722A"/>
    <w:rsid w:val="00A07DD6"/>
    <w:rsid w:val="00A108F7"/>
    <w:rsid w:val="00A11DA9"/>
    <w:rsid w:val="00A13EB0"/>
    <w:rsid w:val="00A16E6C"/>
    <w:rsid w:val="00A17359"/>
    <w:rsid w:val="00A17DFA"/>
    <w:rsid w:val="00A22A2A"/>
    <w:rsid w:val="00A24A12"/>
    <w:rsid w:val="00A2544C"/>
    <w:rsid w:val="00A25823"/>
    <w:rsid w:val="00A27713"/>
    <w:rsid w:val="00A30185"/>
    <w:rsid w:val="00A3052F"/>
    <w:rsid w:val="00A312C5"/>
    <w:rsid w:val="00A3201E"/>
    <w:rsid w:val="00A32980"/>
    <w:rsid w:val="00A32DD2"/>
    <w:rsid w:val="00A32F68"/>
    <w:rsid w:val="00A33856"/>
    <w:rsid w:val="00A346B4"/>
    <w:rsid w:val="00A348CF"/>
    <w:rsid w:val="00A35463"/>
    <w:rsid w:val="00A35FC6"/>
    <w:rsid w:val="00A42085"/>
    <w:rsid w:val="00A432A0"/>
    <w:rsid w:val="00A435EC"/>
    <w:rsid w:val="00A43E2E"/>
    <w:rsid w:val="00A451DB"/>
    <w:rsid w:val="00A52668"/>
    <w:rsid w:val="00A534AC"/>
    <w:rsid w:val="00A537A0"/>
    <w:rsid w:val="00A542F4"/>
    <w:rsid w:val="00A5468B"/>
    <w:rsid w:val="00A54CC6"/>
    <w:rsid w:val="00A61010"/>
    <w:rsid w:val="00A616EC"/>
    <w:rsid w:val="00A634BA"/>
    <w:rsid w:val="00A63EB3"/>
    <w:rsid w:val="00A64CED"/>
    <w:rsid w:val="00A658A0"/>
    <w:rsid w:val="00A67D66"/>
    <w:rsid w:val="00A7230D"/>
    <w:rsid w:val="00A73057"/>
    <w:rsid w:val="00A73F12"/>
    <w:rsid w:val="00A75E2F"/>
    <w:rsid w:val="00A778CC"/>
    <w:rsid w:val="00A77BD4"/>
    <w:rsid w:val="00A815FF"/>
    <w:rsid w:val="00A81B5A"/>
    <w:rsid w:val="00A82014"/>
    <w:rsid w:val="00A84828"/>
    <w:rsid w:val="00A85013"/>
    <w:rsid w:val="00A85C00"/>
    <w:rsid w:val="00A861F6"/>
    <w:rsid w:val="00A8650D"/>
    <w:rsid w:val="00A86B80"/>
    <w:rsid w:val="00A90B00"/>
    <w:rsid w:val="00A92ECD"/>
    <w:rsid w:val="00A93B2D"/>
    <w:rsid w:val="00A94D17"/>
    <w:rsid w:val="00A94F42"/>
    <w:rsid w:val="00A97633"/>
    <w:rsid w:val="00AA1DCE"/>
    <w:rsid w:val="00AA1E2A"/>
    <w:rsid w:val="00AA482A"/>
    <w:rsid w:val="00AA4BD2"/>
    <w:rsid w:val="00AA54E2"/>
    <w:rsid w:val="00AA58DC"/>
    <w:rsid w:val="00AA63C9"/>
    <w:rsid w:val="00AA6BE3"/>
    <w:rsid w:val="00AB3FA8"/>
    <w:rsid w:val="00AB5CCF"/>
    <w:rsid w:val="00AB6461"/>
    <w:rsid w:val="00AC0478"/>
    <w:rsid w:val="00AC22F6"/>
    <w:rsid w:val="00AC3E39"/>
    <w:rsid w:val="00AC3E9E"/>
    <w:rsid w:val="00AC41B2"/>
    <w:rsid w:val="00AC460F"/>
    <w:rsid w:val="00AC5640"/>
    <w:rsid w:val="00AC5AA2"/>
    <w:rsid w:val="00AC7AC3"/>
    <w:rsid w:val="00AD053F"/>
    <w:rsid w:val="00AD12D9"/>
    <w:rsid w:val="00AD292A"/>
    <w:rsid w:val="00AD2CE3"/>
    <w:rsid w:val="00AD3D7B"/>
    <w:rsid w:val="00AD3D8B"/>
    <w:rsid w:val="00AD3FB6"/>
    <w:rsid w:val="00AD4969"/>
    <w:rsid w:val="00AD4B98"/>
    <w:rsid w:val="00AD646C"/>
    <w:rsid w:val="00AD6501"/>
    <w:rsid w:val="00AD6502"/>
    <w:rsid w:val="00AE1078"/>
    <w:rsid w:val="00AE1397"/>
    <w:rsid w:val="00AE2FAC"/>
    <w:rsid w:val="00AE52F1"/>
    <w:rsid w:val="00AE554F"/>
    <w:rsid w:val="00AE5918"/>
    <w:rsid w:val="00AE5C59"/>
    <w:rsid w:val="00AE6CB1"/>
    <w:rsid w:val="00AE7801"/>
    <w:rsid w:val="00AF0021"/>
    <w:rsid w:val="00AF11E0"/>
    <w:rsid w:val="00AF18D2"/>
    <w:rsid w:val="00AF1B38"/>
    <w:rsid w:val="00AF1FA8"/>
    <w:rsid w:val="00AF2C4F"/>
    <w:rsid w:val="00AF32A1"/>
    <w:rsid w:val="00AF43F5"/>
    <w:rsid w:val="00AF60FE"/>
    <w:rsid w:val="00AF6208"/>
    <w:rsid w:val="00AF6816"/>
    <w:rsid w:val="00AF6960"/>
    <w:rsid w:val="00B00C29"/>
    <w:rsid w:val="00B0111E"/>
    <w:rsid w:val="00B0178F"/>
    <w:rsid w:val="00B01DB8"/>
    <w:rsid w:val="00B02FA8"/>
    <w:rsid w:val="00B032A9"/>
    <w:rsid w:val="00B03850"/>
    <w:rsid w:val="00B05449"/>
    <w:rsid w:val="00B05F95"/>
    <w:rsid w:val="00B10815"/>
    <w:rsid w:val="00B11554"/>
    <w:rsid w:val="00B12BCF"/>
    <w:rsid w:val="00B12C7E"/>
    <w:rsid w:val="00B12F7D"/>
    <w:rsid w:val="00B14AB3"/>
    <w:rsid w:val="00B168E9"/>
    <w:rsid w:val="00B16ED0"/>
    <w:rsid w:val="00B21938"/>
    <w:rsid w:val="00B22A72"/>
    <w:rsid w:val="00B23580"/>
    <w:rsid w:val="00B2379D"/>
    <w:rsid w:val="00B23C34"/>
    <w:rsid w:val="00B23E3B"/>
    <w:rsid w:val="00B247BF"/>
    <w:rsid w:val="00B24939"/>
    <w:rsid w:val="00B25764"/>
    <w:rsid w:val="00B26CAC"/>
    <w:rsid w:val="00B271B8"/>
    <w:rsid w:val="00B325F9"/>
    <w:rsid w:val="00B33019"/>
    <w:rsid w:val="00B33563"/>
    <w:rsid w:val="00B339AC"/>
    <w:rsid w:val="00B3407F"/>
    <w:rsid w:val="00B36D82"/>
    <w:rsid w:val="00B3769D"/>
    <w:rsid w:val="00B42659"/>
    <w:rsid w:val="00B43563"/>
    <w:rsid w:val="00B45F59"/>
    <w:rsid w:val="00B46390"/>
    <w:rsid w:val="00B46F0F"/>
    <w:rsid w:val="00B56235"/>
    <w:rsid w:val="00B56632"/>
    <w:rsid w:val="00B56DCA"/>
    <w:rsid w:val="00B56F39"/>
    <w:rsid w:val="00B63813"/>
    <w:rsid w:val="00B65450"/>
    <w:rsid w:val="00B65E25"/>
    <w:rsid w:val="00B668A4"/>
    <w:rsid w:val="00B71036"/>
    <w:rsid w:val="00B71779"/>
    <w:rsid w:val="00B717D8"/>
    <w:rsid w:val="00B72209"/>
    <w:rsid w:val="00B72BCB"/>
    <w:rsid w:val="00B735E2"/>
    <w:rsid w:val="00B744BE"/>
    <w:rsid w:val="00B74EB2"/>
    <w:rsid w:val="00B76ECC"/>
    <w:rsid w:val="00B76FFF"/>
    <w:rsid w:val="00B80747"/>
    <w:rsid w:val="00B80947"/>
    <w:rsid w:val="00B80F4A"/>
    <w:rsid w:val="00B81388"/>
    <w:rsid w:val="00B81B07"/>
    <w:rsid w:val="00B823CE"/>
    <w:rsid w:val="00B8313A"/>
    <w:rsid w:val="00B8313E"/>
    <w:rsid w:val="00B832AF"/>
    <w:rsid w:val="00B84243"/>
    <w:rsid w:val="00B842C4"/>
    <w:rsid w:val="00B845BD"/>
    <w:rsid w:val="00B847EA"/>
    <w:rsid w:val="00B86247"/>
    <w:rsid w:val="00B87154"/>
    <w:rsid w:val="00B87496"/>
    <w:rsid w:val="00B87DFB"/>
    <w:rsid w:val="00B90781"/>
    <w:rsid w:val="00B9108A"/>
    <w:rsid w:val="00B91128"/>
    <w:rsid w:val="00B92979"/>
    <w:rsid w:val="00B941F5"/>
    <w:rsid w:val="00B943CF"/>
    <w:rsid w:val="00B949D2"/>
    <w:rsid w:val="00B950D9"/>
    <w:rsid w:val="00BA014C"/>
    <w:rsid w:val="00BA0AEC"/>
    <w:rsid w:val="00BA16B3"/>
    <w:rsid w:val="00BA1AA6"/>
    <w:rsid w:val="00BA25C6"/>
    <w:rsid w:val="00BA32C1"/>
    <w:rsid w:val="00BA3595"/>
    <w:rsid w:val="00BA44AB"/>
    <w:rsid w:val="00BA52E5"/>
    <w:rsid w:val="00BA5509"/>
    <w:rsid w:val="00BA5BDA"/>
    <w:rsid w:val="00BA5DD6"/>
    <w:rsid w:val="00BB02EE"/>
    <w:rsid w:val="00BB0EA3"/>
    <w:rsid w:val="00BB2B9D"/>
    <w:rsid w:val="00BB4666"/>
    <w:rsid w:val="00BB5EC6"/>
    <w:rsid w:val="00BB6952"/>
    <w:rsid w:val="00BB74AB"/>
    <w:rsid w:val="00BC24BC"/>
    <w:rsid w:val="00BC2B10"/>
    <w:rsid w:val="00BC3024"/>
    <w:rsid w:val="00BC370D"/>
    <w:rsid w:val="00BC4ECE"/>
    <w:rsid w:val="00BC5036"/>
    <w:rsid w:val="00BC5779"/>
    <w:rsid w:val="00BC6DFF"/>
    <w:rsid w:val="00BD08DC"/>
    <w:rsid w:val="00BD18EB"/>
    <w:rsid w:val="00BD1D13"/>
    <w:rsid w:val="00BD265D"/>
    <w:rsid w:val="00BD3B51"/>
    <w:rsid w:val="00BD44B8"/>
    <w:rsid w:val="00BD4907"/>
    <w:rsid w:val="00BD4B6D"/>
    <w:rsid w:val="00BD4F79"/>
    <w:rsid w:val="00BD549D"/>
    <w:rsid w:val="00BD5C43"/>
    <w:rsid w:val="00BD5C50"/>
    <w:rsid w:val="00BD7625"/>
    <w:rsid w:val="00BE03E9"/>
    <w:rsid w:val="00BE25F6"/>
    <w:rsid w:val="00BE330B"/>
    <w:rsid w:val="00BE36DB"/>
    <w:rsid w:val="00BE3D57"/>
    <w:rsid w:val="00BE4006"/>
    <w:rsid w:val="00BE4F68"/>
    <w:rsid w:val="00BE6F66"/>
    <w:rsid w:val="00BE76BF"/>
    <w:rsid w:val="00BE78B8"/>
    <w:rsid w:val="00BF0F2E"/>
    <w:rsid w:val="00BF1E4C"/>
    <w:rsid w:val="00BF2499"/>
    <w:rsid w:val="00BF49F8"/>
    <w:rsid w:val="00BF4D26"/>
    <w:rsid w:val="00BF4E3A"/>
    <w:rsid w:val="00BF50B6"/>
    <w:rsid w:val="00BF59A1"/>
    <w:rsid w:val="00BF5D16"/>
    <w:rsid w:val="00BF6408"/>
    <w:rsid w:val="00BF66D1"/>
    <w:rsid w:val="00BF7CDA"/>
    <w:rsid w:val="00C02149"/>
    <w:rsid w:val="00C05BA7"/>
    <w:rsid w:val="00C06855"/>
    <w:rsid w:val="00C07760"/>
    <w:rsid w:val="00C113E9"/>
    <w:rsid w:val="00C1260A"/>
    <w:rsid w:val="00C15478"/>
    <w:rsid w:val="00C15CDA"/>
    <w:rsid w:val="00C16A3E"/>
    <w:rsid w:val="00C17BA0"/>
    <w:rsid w:val="00C2296D"/>
    <w:rsid w:val="00C23B3C"/>
    <w:rsid w:val="00C23C14"/>
    <w:rsid w:val="00C24369"/>
    <w:rsid w:val="00C24C45"/>
    <w:rsid w:val="00C266A3"/>
    <w:rsid w:val="00C268B4"/>
    <w:rsid w:val="00C26DCF"/>
    <w:rsid w:val="00C27117"/>
    <w:rsid w:val="00C3034B"/>
    <w:rsid w:val="00C3199C"/>
    <w:rsid w:val="00C32C8C"/>
    <w:rsid w:val="00C33E6B"/>
    <w:rsid w:val="00C34157"/>
    <w:rsid w:val="00C345A0"/>
    <w:rsid w:val="00C3495D"/>
    <w:rsid w:val="00C35503"/>
    <w:rsid w:val="00C37A60"/>
    <w:rsid w:val="00C40019"/>
    <w:rsid w:val="00C41136"/>
    <w:rsid w:val="00C41E9C"/>
    <w:rsid w:val="00C428B6"/>
    <w:rsid w:val="00C4417A"/>
    <w:rsid w:val="00C44657"/>
    <w:rsid w:val="00C464B9"/>
    <w:rsid w:val="00C55E16"/>
    <w:rsid w:val="00C56EDA"/>
    <w:rsid w:val="00C6062A"/>
    <w:rsid w:val="00C620A9"/>
    <w:rsid w:val="00C6288F"/>
    <w:rsid w:val="00C64A57"/>
    <w:rsid w:val="00C6709C"/>
    <w:rsid w:val="00C67E9F"/>
    <w:rsid w:val="00C70CA0"/>
    <w:rsid w:val="00C71A69"/>
    <w:rsid w:val="00C72C23"/>
    <w:rsid w:val="00C7308C"/>
    <w:rsid w:val="00C733B2"/>
    <w:rsid w:val="00C74683"/>
    <w:rsid w:val="00C74809"/>
    <w:rsid w:val="00C74FC3"/>
    <w:rsid w:val="00C77290"/>
    <w:rsid w:val="00C7740A"/>
    <w:rsid w:val="00C77A30"/>
    <w:rsid w:val="00C801DD"/>
    <w:rsid w:val="00C8034B"/>
    <w:rsid w:val="00C80660"/>
    <w:rsid w:val="00C815B8"/>
    <w:rsid w:val="00C82FE5"/>
    <w:rsid w:val="00C8333D"/>
    <w:rsid w:val="00C84696"/>
    <w:rsid w:val="00C84AA2"/>
    <w:rsid w:val="00C85C6C"/>
    <w:rsid w:val="00C86CF3"/>
    <w:rsid w:val="00C878EF"/>
    <w:rsid w:val="00C91584"/>
    <w:rsid w:val="00C922E8"/>
    <w:rsid w:val="00C92551"/>
    <w:rsid w:val="00C92AC9"/>
    <w:rsid w:val="00C9332A"/>
    <w:rsid w:val="00C949BB"/>
    <w:rsid w:val="00C94EFB"/>
    <w:rsid w:val="00C953B1"/>
    <w:rsid w:val="00CA3E90"/>
    <w:rsid w:val="00CA6AA6"/>
    <w:rsid w:val="00CA78A3"/>
    <w:rsid w:val="00CB0E04"/>
    <w:rsid w:val="00CB1603"/>
    <w:rsid w:val="00CB18D3"/>
    <w:rsid w:val="00CB35A2"/>
    <w:rsid w:val="00CB4671"/>
    <w:rsid w:val="00CB49BF"/>
    <w:rsid w:val="00CB60E7"/>
    <w:rsid w:val="00CC0B22"/>
    <w:rsid w:val="00CC22F8"/>
    <w:rsid w:val="00CC2BC0"/>
    <w:rsid w:val="00CC2E12"/>
    <w:rsid w:val="00CC3DB6"/>
    <w:rsid w:val="00CC3E1F"/>
    <w:rsid w:val="00CC42F4"/>
    <w:rsid w:val="00CC4521"/>
    <w:rsid w:val="00CC59F1"/>
    <w:rsid w:val="00CC5D8A"/>
    <w:rsid w:val="00CC7CD5"/>
    <w:rsid w:val="00CD1419"/>
    <w:rsid w:val="00CD24C9"/>
    <w:rsid w:val="00CD3E9B"/>
    <w:rsid w:val="00CD570E"/>
    <w:rsid w:val="00CD62CF"/>
    <w:rsid w:val="00CD650E"/>
    <w:rsid w:val="00CE004E"/>
    <w:rsid w:val="00CE0C94"/>
    <w:rsid w:val="00CE14A3"/>
    <w:rsid w:val="00CE3326"/>
    <w:rsid w:val="00CE76E0"/>
    <w:rsid w:val="00CE7C68"/>
    <w:rsid w:val="00CF1254"/>
    <w:rsid w:val="00CF2BD1"/>
    <w:rsid w:val="00CF32D3"/>
    <w:rsid w:val="00CF3820"/>
    <w:rsid w:val="00CF6C71"/>
    <w:rsid w:val="00CF7656"/>
    <w:rsid w:val="00CF777D"/>
    <w:rsid w:val="00D008CA"/>
    <w:rsid w:val="00D013FB"/>
    <w:rsid w:val="00D05BFA"/>
    <w:rsid w:val="00D06AA4"/>
    <w:rsid w:val="00D072FC"/>
    <w:rsid w:val="00D10F5A"/>
    <w:rsid w:val="00D13782"/>
    <w:rsid w:val="00D13AB6"/>
    <w:rsid w:val="00D140B3"/>
    <w:rsid w:val="00D14311"/>
    <w:rsid w:val="00D1554F"/>
    <w:rsid w:val="00D1591E"/>
    <w:rsid w:val="00D15A2C"/>
    <w:rsid w:val="00D16CC5"/>
    <w:rsid w:val="00D16D21"/>
    <w:rsid w:val="00D17EB8"/>
    <w:rsid w:val="00D20455"/>
    <w:rsid w:val="00D207AA"/>
    <w:rsid w:val="00D2108D"/>
    <w:rsid w:val="00D21A7A"/>
    <w:rsid w:val="00D21ECB"/>
    <w:rsid w:val="00D232BD"/>
    <w:rsid w:val="00D23B23"/>
    <w:rsid w:val="00D24AEB"/>
    <w:rsid w:val="00D24C8C"/>
    <w:rsid w:val="00D25062"/>
    <w:rsid w:val="00D251E4"/>
    <w:rsid w:val="00D2709A"/>
    <w:rsid w:val="00D31698"/>
    <w:rsid w:val="00D318FA"/>
    <w:rsid w:val="00D33506"/>
    <w:rsid w:val="00D33D72"/>
    <w:rsid w:val="00D342B8"/>
    <w:rsid w:val="00D34A9A"/>
    <w:rsid w:val="00D34B82"/>
    <w:rsid w:val="00D43823"/>
    <w:rsid w:val="00D4386C"/>
    <w:rsid w:val="00D43D0D"/>
    <w:rsid w:val="00D44AE4"/>
    <w:rsid w:val="00D44CE8"/>
    <w:rsid w:val="00D45241"/>
    <w:rsid w:val="00D4621B"/>
    <w:rsid w:val="00D50BB4"/>
    <w:rsid w:val="00D53763"/>
    <w:rsid w:val="00D542CD"/>
    <w:rsid w:val="00D54381"/>
    <w:rsid w:val="00D54BAE"/>
    <w:rsid w:val="00D557F5"/>
    <w:rsid w:val="00D568B8"/>
    <w:rsid w:val="00D56E23"/>
    <w:rsid w:val="00D570C1"/>
    <w:rsid w:val="00D6012B"/>
    <w:rsid w:val="00D60A76"/>
    <w:rsid w:val="00D61864"/>
    <w:rsid w:val="00D61E29"/>
    <w:rsid w:val="00D61EB9"/>
    <w:rsid w:val="00D63BC5"/>
    <w:rsid w:val="00D65F57"/>
    <w:rsid w:val="00D71420"/>
    <w:rsid w:val="00D73E40"/>
    <w:rsid w:val="00D75042"/>
    <w:rsid w:val="00D764E5"/>
    <w:rsid w:val="00D76F70"/>
    <w:rsid w:val="00D77259"/>
    <w:rsid w:val="00D773B9"/>
    <w:rsid w:val="00D77D60"/>
    <w:rsid w:val="00D804B5"/>
    <w:rsid w:val="00D83B30"/>
    <w:rsid w:val="00D83ECD"/>
    <w:rsid w:val="00D8491B"/>
    <w:rsid w:val="00D86E51"/>
    <w:rsid w:val="00D90F9F"/>
    <w:rsid w:val="00D9119F"/>
    <w:rsid w:val="00D9234D"/>
    <w:rsid w:val="00D92398"/>
    <w:rsid w:val="00D93422"/>
    <w:rsid w:val="00D94AAB"/>
    <w:rsid w:val="00D9622C"/>
    <w:rsid w:val="00D96E1D"/>
    <w:rsid w:val="00D97012"/>
    <w:rsid w:val="00D9764E"/>
    <w:rsid w:val="00DA0B86"/>
    <w:rsid w:val="00DA13CD"/>
    <w:rsid w:val="00DA1AD4"/>
    <w:rsid w:val="00DA1D69"/>
    <w:rsid w:val="00DA3326"/>
    <w:rsid w:val="00DA423C"/>
    <w:rsid w:val="00DA434A"/>
    <w:rsid w:val="00DA43B7"/>
    <w:rsid w:val="00DA4D2A"/>
    <w:rsid w:val="00DA5BD4"/>
    <w:rsid w:val="00DA6A52"/>
    <w:rsid w:val="00DA7299"/>
    <w:rsid w:val="00DA7C36"/>
    <w:rsid w:val="00DB051B"/>
    <w:rsid w:val="00DB1FC9"/>
    <w:rsid w:val="00DB2E87"/>
    <w:rsid w:val="00DB58FC"/>
    <w:rsid w:val="00DB63D1"/>
    <w:rsid w:val="00DB784D"/>
    <w:rsid w:val="00DB7D89"/>
    <w:rsid w:val="00DC1821"/>
    <w:rsid w:val="00DC1865"/>
    <w:rsid w:val="00DC473F"/>
    <w:rsid w:val="00DC5BC2"/>
    <w:rsid w:val="00DC5C1F"/>
    <w:rsid w:val="00DC6424"/>
    <w:rsid w:val="00DC7EF7"/>
    <w:rsid w:val="00DD02A7"/>
    <w:rsid w:val="00DD055A"/>
    <w:rsid w:val="00DD1A3E"/>
    <w:rsid w:val="00DD2079"/>
    <w:rsid w:val="00DD2832"/>
    <w:rsid w:val="00DD2A17"/>
    <w:rsid w:val="00DD5FFA"/>
    <w:rsid w:val="00DE113F"/>
    <w:rsid w:val="00DE3782"/>
    <w:rsid w:val="00DE3889"/>
    <w:rsid w:val="00DE44E6"/>
    <w:rsid w:val="00DE5EBE"/>
    <w:rsid w:val="00DE7684"/>
    <w:rsid w:val="00DE775A"/>
    <w:rsid w:val="00DE7C09"/>
    <w:rsid w:val="00DF0834"/>
    <w:rsid w:val="00DF094A"/>
    <w:rsid w:val="00DF11FD"/>
    <w:rsid w:val="00DF200A"/>
    <w:rsid w:val="00DF3A73"/>
    <w:rsid w:val="00DF3DF6"/>
    <w:rsid w:val="00DF3F7B"/>
    <w:rsid w:val="00DF601F"/>
    <w:rsid w:val="00E0243F"/>
    <w:rsid w:val="00E0609C"/>
    <w:rsid w:val="00E073B8"/>
    <w:rsid w:val="00E124AD"/>
    <w:rsid w:val="00E12E7C"/>
    <w:rsid w:val="00E152A9"/>
    <w:rsid w:val="00E15DDC"/>
    <w:rsid w:val="00E15DF9"/>
    <w:rsid w:val="00E16A4B"/>
    <w:rsid w:val="00E20684"/>
    <w:rsid w:val="00E2216D"/>
    <w:rsid w:val="00E22B42"/>
    <w:rsid w:val="00E22C0D"/>
    <w:rsid w:val="00E231CD"/>
    <w:rsid w:val="00E244D8"/>
    <w:rsid w:val="00E247AB"/>
    <w:rsid w:val="00E24A1F"/>
    <w:rsid w:val="00E24D78"/>
    <w:rsid w:val="00E262C6"/>
    <w:rsid w:val="00E262DC"/>
    <w:rsid w:val="00E27F5B"/>
    <w:rsid w:val="00E32BB6"/>
    <w:rsid w:val="00E33AFE"/>
    <w:rsid w:val="00E34598"/>
    <w:rsid w:val="00E3588D"/>
    <w:rsid w:val="00E40F58"/>
    <w:rsid w:val="00E41FE9"/>
    <w:rsid w:val="00E432BC"/>
    <w:rsid w:val="00E43F8D"/>
    <w:rsid w:val="00E46A53"/>
    <w:rsid w:val="00E504CE"/>
    <w:rsid w:val="00E52781"/>
    <w:rsid w:val="00E53A8D"/>
    <w:rsid w:val="00E561AB"/>
    <w:rsid w:val="00E60D07"/>
    <w:rsid w:val="00E627A2"/>
    <w:rsid w:val="00E6316D"/>
    <w:rsid w:val="00E63FC6"/>
    <w:rsid w:val="00E6522F"/>
    <w:rsid w:val="00E65321"/>
    <w:rsid w:val="00E65397"/>
    <w:rsid w:val="00E668C3"/>
    <w:rsid w:val="00E72D1C"/>
    <w:rsid w:val="00E73109"/>
    <w:rsid w:val="00E74506"/>
    <w:rsid w:val="00E74620"/>
    <w:rsid w:val="00E74FE4"/>
    <w:rsid w:val="00E76285"/>
    <w:rsid w:val="00E76851"/>
    <w:rsid w:val="00E7790D"/>
    <w:rsid w:val="00E8166B"/>
    <w:rsid w:val="00E81C57"/>
    <w:rsid w:val="00E81FC2"/>
    <w:rsid w:val="00E82A0E"/>
    <w:rsid w:val="00E8356A"/>
    <w:rsid w:val="00E84DCE"/>
    <w:rsid w:val="00E85AA6"/>
    <w:rsid w:val="00E87663"/>
    <w:rsid w:val="00E87838"/>
    <w:rsid w:val="00E91842"/>
    <w:rsid w:val="00E91B4C"/>
    <w:rsid w:val="00E9205B"/>
    <w:rsid w:val="00E93766"/>
    <w:rsid w:val="00E979A5"/>
    <w:rsid w:val="00E97BDB"/>
    <w:rsid w:val="00EA0CE4"/>
    <w:rsid w:val="00EA3793"/>
    <w:rsid w:val="00EA3A2C"/>
    <w:rsid w:val="00EA3E57"/>
    <w:rsid w:val="00EA3EC1"/>
    <w:rsid w:val="00EA50FD"/>
    <w:rsid w:val="00EA5A1D"/>
    <w:rsid w:val="00EB0767"/>
    <w:rsid w:val="00EB18EF"/>
    <w:rsid w:val="00EB1AD9"/>
    <w:rsid w:val="00EB3D04"/>
    <w:rsid w:val="00EB47A5"/>
    <w:rsid w:val="00EB7191"/>
    <w:rsid w:val="00EC00B2"/>
    <w:rsid w:val="00EC09DF"/>
    <w:rsid w:val="00EC15FA"/>
    <w:rsid w:val="00EC20BE"/>
    <w:rsid w:val="00EC2739"/>
    <w:rsid w:val="00EC2F09"/>
    <w:rsid w:val="00EC4853"/>
    <w:rsid w:val="00EC495E"/>
    <w:rsid w:val="00EC6691"/>
    <w:rsid w:val="00EC6782"/>
    <w:rsid w:val="00EC6E77"/>
    <w:rsid w:val="00EC79BB"/>
    <w:rsid w:val="00ED0159"/>
    <w:rsid w:val="00ED1647"/>
    <w:rsid w:val="00ED1884"/>
    <w:rsid w:val="00ED1962"/>
    <w:rsid w:val="00ED2010"/>
    <w:rsid w:val="00ED287E"/>
    <w:rsid w:val="00ED2C66"/>
    <w:rsid w:val="00ED2F45"/>
    <w:rsid w:val="00ED37E5"/>
    <w:rsid w:val="00ED4209"/>
    <w:rsid w:val="00ED48C4"/>
    <w:rsid w:val="00ED51A1"/>
    <w:rsid w:val="00ED5508"/>
    <w:rsid w:val="00ED603F"/>
    <w:rsid w:val="00ED6202"/>
    <w:rsid w:val="00EE06F7"/>
    <w:rsid w:val="00EE095B"/>
    <w:rsid w:val="00EE0D62"/>
    <w:rsid w:val="00EE1203"/>
    <w:rsid w:val="00EE27DB"/>
    <w:rsid w:val="00EE2BA5"/>
    <w:rsid w:val="00EE3024"/>
    <w:rsid w:val="00EE378A"/>
    <w:rsid w:val="00EE5F7A"/>
    <w:rsid w:val="00EF0466"/>
    <w:rsid w:val="00EF15DC"/>
    <w:rsid w:val="00EF22E3"/>
    <w:rsid w:val="00EF26B4"/>
    <w:rsid w:val="00EF3E59"/>
    <w:rsid w:val="00EF5118"/>
    <w:rsid w:val="00EF62C9"/>
    <w:rsid w:val="00EF6A94"/>
    <w:rsid w:val="00EF6CD0"/>
    <w:rsid w:val="00F00A4B"/>
    <w:rsid w:val="00F01046"/>
    <w:rsid w:val="00F033D2"/>
    <w:rsid w:val="00F04967"/>
    <w:rsid w:val="00F06EF6"/>
    <w:rsid w:val="00F078B5"/>
    <w:rsid w:val="00F07DDF"/>
    <w:rsid w:val="00F10590"/>
    <w:rsid w:val="00F11386"/>
    <w:rsid w:val="00F1263D"/>
    <w:rsid w:val="00F130B8"/>
    <w:rsid w:val="00F1324B"/>
    <w:rsid w:val="00F133F4"/>
    <w:rsid w:val="00F1380E"/>
    <w:rsid w:val="00F1394F"/>
    <w:rsid w:val="00F14017"/>
    <w:rsid w:val="00F22E15"/>
    <w:rsid w:val="00F25453"/>
    <w:rsid w:val="00F25A33"/>
    <w:rsid w:val="00F26565"/>
    <w:rsid w:val="00F27E45"/>
    <w:rsid w:val="00F3016C"/>
    <w:rsid w:val="00F30D5C"/>
    <w:rsid w:val="00F3389A"/>
    <w:rsid w:val="00F33A1F"/>
    <w:rsid w:val="00F3495D"/>
    <w:rsid w:val="00F351DF"/>
    <w:rsid w:val="00F352B4"/>
    <w:rsid w:val="00F35DC6"/>
    <w:rsid w:val="00F3701D"/>
    <w:rsid w:val="00F406CF"/>
    <w:rsid w:val="00F440B9"/>
    <w:rsid w:val="00F447F2"/>
    <w:rsid w:val="00F44927"/>
    <w:rsid w:val="00F44B74"/>
    <w:rsid w:val="00F44ED6"/>
    <w:rsid w:val="00F46560"/>
    <w:rsid w:val="00F470D5"/>
    <w:rsid w:val="00F505FE"/>
    <w:rsid w:val="00F51738"/>
    <w:rsid w:val="00F52DAF"/>
    <w:rsid w:val="00F60B63"/>
    <w:rsid w:val="00F61329"/>
    <w:rsid w:val="00F618E6"/>
    <w:rsid w:val="00F6280F"/>
    <w:rsid w:val="00F62BAF"/>
    <w:rsid w:val="00F641DE"/>
    <w:rsid w:val="00F6430D"/>
    <w:rsid w:val="00F67191"/>
    <w:rsid w:val="00F6732B"/>
    <w:rsid w:val="00F67947"/>
    <w:rsid w:val="00F67AB5"/>
    <w:rsid w:val="00F7011D"/>
    <w:rsid w:val="00F7013C"/>
    <w:rsid w:val="00F70D55"/>
    <w:rsid w:val="00F722F1"/>
    <w:rsid w:val="00F72A9F"/>
    <w:rsid w:val="00F73437"/>
    <w:rsid w:val="00F7402D"/>
    <w:rsid w:val="00F74090"/>
    <w:rsid w:val="00F74B5A"/>
    <w:rsid w:val="00F757ED"/>
    <w:rsid w:val="00F761CD"/>
    <w:rsid w:val="00F766BF"/>
    <w:rsid w:val="00F766EE"/>
    <w:rsid w:val="00F80683"/>
    <w:rsid w:val="00F82B05"/>
    <w:rsid w:val="00F844C8"/>
    <w:rsid w:val="00F846B9"/>
    <w:rsid w:val="00F86A47"/>
    <w:rsid w:val="00F914EB"/>
    <w:rsid w:val="00F91524"/>
    <w:rsid w:val="00F91CDA"/>
    <w:rsid w:val="00F92237"/>
    <w:rsid w:val="00FA006C"/>
    <w:rsid w:val="00FA036B"/>
    <w:rsid w:val="00FA08F6"/>
    <w:rsid w:val="00FA155A"/>
    <w:rsid w:val="00FA161D"/>
    <w:rsid w:val="00FA300B"/>
    <w:rsid w:val="00FA331B"/>
    <w:rsid w:val="00FA3738"/>
    <w:rsid w:val="00FA3911"/>
    <w:rsid w:val="00FA396B"/>
    <w:rsid w:val="00FA3E31"/>
    <w:rsid w:val="00FA5BFF"/>
    <w:rsid w:val="00FB0B30"/>
    <w:rsid w:val="00FB0B7E"/>
    <w:rsid w:val="00FB2C49"/>
    <w:rsid w:val="00FB4765"/>
    <w:rsid w:val="00FB4C5E"/>
    <w:rsid w:val="00FB559A"/>
    <w:rsid w:val="00FB5D10"/>
    <w:rsid w:val="00FB73C0"/>
    <w:rsid w:val="00FB7779"/>
    <w:rsid w:val="00FB78A1"/>
    <w:rsid w:val="00FC1C1F"/>
    <w:rsid w:val="00FC4129"/>
    <w:rsid w:val="00FC7225"/>
    <w:rsid w:val="00FC754D"/>
    <w:rsid w:val="00FD05E5"/>
    <w:rsid w:val="00FD0655"/>
    <w:rsid w:val="00FD0E9C"/>
    <w:rsid w:val="00FD109E"/>
    <w:rsid w:val="00FD157B"/>
    <w:rsid w:val="00FD16FD"/>
    <w:rsid w:val="00FD3AC7"/>
    <w:rsid w:val="00FD4EEF"/>
    <w:rsid w:val="00FD5A79"/>
    <w:rsid w:val="00FD6801"/>
    <w:rsid w:val="00FD7432"/>
    <w:rsid w:val="00FD78DD"/>
    <w:rsid w:val="00FE2DD0"/>
    <w:rsid w:val="00FE3E92"/>
    <w:rsid w:val="00FE4741"/>
    <w:rsid w:val="00FE6CB1"/>
    <w:rsid w:val="00FE6F85"/>
    <w:rsid w:val="00FE7239"/>
    <w:rsid w:val="00FE7273"/>
    <w:rsid w:val="00FE7F90"/>
    <w:rsid w:val="00FF0B75"/>
    <w:rsid w:val="00FF0D84"/>
    <w:rsid w:val="00FF5A50"/>
    <w:rsid w:val="0121437D"/>
    <w:rsid w:val="01224C6D"/>
    <w:rsid w:val="016A5960"/>
    <w:rsid w:val="016D5EB3"/>
    <w:rsid w:val="017141D9"/>
    <w:rsid w:val="017A0FEF"/>
    <w:rsid w:val="018E25E8"/>
    <w:rsid w:val="01F85EA3"/>
    <w:rsid w:val="0205271B"/>
    <w:rsid w:val="021B13F7"/>
    <w:rsid w:val="021C5078"/>
    <w:rsid w:val="0233053F"/>
    <w:rsid w:val="02402554"/>
    <w:rsid w:val="028D1901"/>
    <w:rsid w:val="02DA7628"/>
    <w:rsid w:val="03194DEF"/>
    <w:rsid w:val="039216FF"/>
    <w:rsid w:val="03B876A3"/>
    <w:rsid w:val="04712ACA"/>
    <w:rsid w:val="04B93CD8"/>
    <w:rsid w:val="05583B5A"/>
    <w:rsid w:val="055C3C11"/>
    <w:rsid w:val="057D129C"/>
    <w:rsid w:val="059F726B"/>
    <w:rsid w:val="05DB4966"/>
    <w:rsid w:val="05E25C27"/>
    <w:rsid w:val="06261C99"/>
    <w:rsid w:val="0647469F"/>
    <w:rsid w:val="06711C68"/>
    <w:rsid w:val="06D91BF4"/>
    <w:rsid w:val="073BC345"/>
    <w:rsid w:val="0772259C"/>
    <w:rsid w:val="077E72C4"/>
    <w:rsid w:val="07B94D3B"/>
    <w:rsid w:val="07C239D8"/>
    <w:rsid w:val="07D63BE1"/>
    <w:rsid w:val="08071AE5"/>
    <w:rsid w:val="08376A5E"/>
    <w:rsid w:val="084E5AB3"/>
    <w:rsid w:val="084F358F"/>
    <w:rsid w:val="0856506C"/>
    <w:rsid w:val="085665F7"/>
    <w:rsid w:val="08C12C0D"/>
    <w:rsid w:val="08F06D39"/>
    <w:rsid w:val="09054CFA"/>
    <w:rsid w:val="096C166A"/>
    <w:rsid w:val="098743B9"/>
    <w:rsid w:val="09A75C54"/>
    <w:rsid w:val="09AD5C01"/>
    <w:rsid w:val="09E57A1C"/>
    <w:rsid w:val="0A124238"/>
    <w:rsid w:val="0A137394"/>
    <w:rsid w:val="0A4F1B71"/>
    <w:rsid w:val="0AA11C90"/>
    <w:rsid w:val="0AC8310D"/>
    <w:rsid w:val="0AF61EA1"/>
    <w:rsid w:val="0B05492D"/>
    <w:rsid w:val="0B560FC2"/>
    <w:rsid w:val="0B7D0B44"/>
    <w:rsid w:val="0C194D1F"/>
    <w:rsid w:val="0C284CFE"/>
    <w:rsid w:val="0C7569A0"/>
    <w:rsid w:val="0C8F4C2B"/>
    <w:rsid w:val="0CAC79A4"/>
    <w:rsid w:val="0CBE7CAD"/>
    <w:rsid w:val="0CC16064"/>
    <w:rsid w:val="0D125B73"/>
    <w:rsid w:val="0D675D6D"/>
    <w:rsid w:val="0D697727"/>
    <w:rsid w:val="0D9846D1"/>
    <w:rsid w:val="0DAD34E3"/>
    <w:rsid w:val="0DE73F06"/>
    <w:rsid w:val="0DFE66C2"/>
    <w:rsid w:val="0E356E04"/>
    <w:rsid w:val="0E7C69A5"/>
    <w:rsid w:val="0EA57F59"/>
    <w:rsid w:val="0EF22E97"/>
    <w:rsid w:val="0F0C17BB"/>
    <w:rsid w:val="0F352903"/>
    <w:rsid w:val="0F48156C"/>
    <w:rsid w:val="0F675D5D"/>
    <w:rsid w:val="0FF6628E"/>
    <w:rsid w:val="0FFF938A"/>
    <w:rsid w:val="10070F69"/>
    <w:rsid w:val="101B317D"/>
    <w:rsid w:val="102B3146"/>
    <w:rsid w:val="102E4D05"/>
    <w:rsid w:val="10376DBE"/>
    <w:rsid w:val="105544F8"/>
    <w:rsid w:val="105633AD"/>
    <w:rsid w:val="10627822"/>
    <w:rsid w:val="10AA7522"/>
    <w:rsid w:val="10D768E7"/>
    <w:rsid w:val="11044AFF"/>
    <w:rsid w:val="11064F44"/>
    <w:rsid w:val="11133DEA"/>
    <w:rsid w:val="11CC6188"/>
    <w:rsid w:val="11D930AD"/>
    <w:rsid w:val="122D43B3"/>
    <w:rsid w:val="12332C6D"/>
    <w:rsid w:val="1241477A"/>
    <w:rsid w:val="125A3A84"/>
    <w:rsid w:val="12866277"/>
    <w:rsid w:val="12C77923"/>
    <w:rsid w:val="132F364B"/>
    <w:rsid w:val="135D4863"/>
    <w:rsid w:val="139B7B40"/>
    <w:rsid w:val="13A11FA7"/>
    <w:rsid w:val="13AB32E6"/>
    <w:rsid w:val="13B22260"/>
    <w:rsid w:val="13D61712"/>
    <w:rsid w:val="14495A65"/>
    <w:rsid w:val="149A2FEA"/>
    <w:rsid w:val="14AE1AB5"/>
    <w:rsid w:val="14BF7E9B"/>
    <w:rsid w:val="14DB334D"/>
    <w:rsid w:val="15172E47"/>
    <w:rsid w:val="151C1575"/>
    <w:rsid w:val="152A23E1"/>
    <w:rsid w:val="15333ABC"/>
    <w:rsid w:val="1542B616"/>
    <w:rsid w:val="16157B36"/>
    <w:rsid w:val="166F6433"/>
    <w:rsid w:val="16776C8C"/>
    <w:rsid w:val="167852D6"/>
    <w:rsid w:val="17514510"/>
    <w:rsid w:val="17D21F25"/>
    <w:rsid w:val="185B2644"/>
    <w:rsid w:val="188C11A9"/>
    <w:rsid w:val="18B3753E"/>
    <w:rsid w:val="18B74DD9"/>
    <w:rsid w:val="18D84B04"/>
    <w:rsid w:val="19001DDC"/>
    <w:rsid w:val="192457DA"/>
    <w:rsid w:val="193D3241"/>
    <w:rsid w:val="19691D70"/>
    <w:rsid w:val="19712683"/>
    <w:rsid w:val="199A0A64"/>
    <w:rsid w:val="19D73289"/>
    <w:rsid w:val="19FE638F"/>
    <w:rsid w:val="1A03350F"/>
    <w:rsid w:val="1A4B4AC6"/>
    <w:rsid w:val="1A6C4153"/>
    <w:rsid w:val="1A751270"/>
    <w:rsid w:val="1B225A4E"/>
    <w:rsid w:val="1B2649F0"/>
    <w:rsid w:val="1B2C406A"/>
    <w:rsid w:val="1B796D71"/>
    <w:rsid w:val="1C042894"/>
    <w:rsid w:val="1C89490E"/>
    <w:rsid w:val="1C9D092A"/>
    <w:rsid w:val="1CB10AAB"/>
    <w:rsid w:val="1CC8390A"/>
    <w:rsid w:val="1CFB77AC"/>
    <w:rsid w:val="1D015563"/>
    <w:rsid w:val="1D740C7A"/>
    <w:rsid w:val="1D86363D"/>
    <w:rsid w:val="1D8E1544"/>
    <w:rsid w:val="1DCC06AF"/>
    <w:rsid w:val="1DCE2E89"/>
    <w:rsid w:val="1DFFFD82"/>
    <w:rsid w:val="1E183FA7"/>
    <w:rsid w:val="1E2E0D42"/>
    <w:rsid w:val="1E42506D"/>
    <w:rsid w:val="1E50061D"/>
    <w:rsid w:val="1E560131"/>
    <w:rsid w:val="1E614903"/>
    <w:rsid w:val="1ED219A3"/>
    <w:rsid w:val="1F7B5F8D"/>
    <w:rsid w:val="1F834913"/>
    <w:rsid w:val="1FD20FAA"/>
    <w:rsid w:val="202C0788"/>
    <w:rsid w:val="202E4BF3"/>
    <w:rsid w:val="203A195B"/>
    <w:rsid w:val="203F264E"/>
    <w:rsid w:val="20702223"/>
    <w:rsid w:val="20807C66"/>
    <w:rsid w:val="20ED3113"/>
    <w:rsid w:val="21565CD7"/>
    <w:rsid w:val="217F6F15"/>
    <w:rsid w:val="218C3284"/>
    <w:rsid w:val="21A10B35"/>
    <w:rsid w:val="21B20C54"/>
    <w:rsid w:val="21ED0045"/>
    <w:rsid w:val="223D7B5E"/>
    <w:rsid w:val="22474432"/>
    <w:rsid w:val="23384659"/>
    <w:rsid w:val="23556E9C"/>
    <w:rsid w:val="23701D16"/>
    <w:rsid w:val="239044A0"/>
    <w:rsid w:val="23AF3129"/>
    <w:rsid w:val="23E848A8"/>
    <w:rsid w:val="23ED286A"/>
    <w:rsid w:val="24046B66"/>
    <w:rsid w:val="243B4636"/>
    <w:rsid w:val="24465411"/>
    <w:rsid w:val="246B34B4"/>
    <w:rsid w:val="24782A59"/>
    <w:rsid w:val="24862024"/>
    <w:rsid w:val="24CF36EB"/>
    <w:rsid w:val="25204D30"/>
    <w:rsid w:val="252A5F89"/>
    <w:rsid w:val="25383F41"/>
    <w:rsid w:val="25486E34"/>
    <w:rsid w:val="26192B21"/>
    <w:rsid w:val="2630503B"/>
    <w:rsid w:val="264F08C9"/>
    <w:rsid w:val="26AA42F4"/>
    <w:rsid w:val="279E376B"/>
    <w:rsid w:val="280924C2"/>
    <w:rsid w:val="284640A6"/>
    <w:rsid w:val="2853229C"/>
    <w:rsid w:val="28D504D5"/>
    <w:rsid w:val="29314755"/>
    <w:rsid w:val="293A5469"/>
    <w:rsid w:val="295763F4"/>
    <w:rsid w:val="299D656D"/>
    <w:rsid w:val="2A037704"/>
    <w:rsid w:val="2A3D3C2A"/>
    <w:rsid w:val="2A99021D"/>
    <w:rsid w:val="2AB77FF5"/>
    <w:rsid w:val="2AC21339"/>
    <w:rsid w:val="2B575C15"/>
    <w:rsid w:val="2B722997"/>
    <w:rsid w:val="2BBD377A"/>
    <w:rsid w:val="2BDC4E0E"/>
    <w:rsid w:val="2C3A758D"/>
    <w:rsid w:val="2CE60FDF"/>
    <w:rsid w:val="2CEE65A8"/>
    <w:rsid w:val="2D150F6D"/>
    <w:rsid w:val="2D2C4AFA"/>
    <w:rsid w:val="2D3A44D4"/>
    <w:rsid w:val="2D4F2E63"/>
    <w:rsid w:val="2D676A73"/>
    <w:rsid w:val="2D714BBA"/>
    <w:rsid w:val="2D744402"/>
    <w:rsid w:val="2E071089"/>
    <w:rsid w:val="2E1301B1"/>
    <w:rsid w:val="2E6D64C1"/>
    <w:rsid w:val="2EA50F80"/>
    <w:rsid w:val="2EB67FAE"/>
    <w:rsid w:val="2EE12733"/>
    <w:rsid w:val="2F2F0EF4"/>
    <w:rsid w:val="2FA7596E"/>
    <w:rsid w:val="2FC60505"/>
    <w:rsid w:val="2FE41263"/>
    <w:rsid w:val="2FFDB170"/>
    <w:rsid w:val="30296F87"/>
    <w:rsid w:val="304B46FC"/>
    <w:rsid w:val="30892435"/>
    <w:rsid w:val="30927FB5"/>
    <w:rsid w:val="31175FD2"/>
    <w:rsid w:val="31675991"/>
    <w:rsid w:val="31CD32A1"/>
    <w:rsid w:val="31F10451"/>
    <w:rsid w:val="32446ECF"/>
    <w:rsid w:val="32D04238"/>
    <w:rsid w:val="334C087F"/>
    <w:rsid w:val="3364479A"/>
    <w:rsid w:val="336963E1"/>
    <w:rsid w:val="33C80DD8"/>
    <w:rsid w:val="340C1CFE"/>
    <w:rsid w:val="34543ED1"/>
    <w:rsid w:val="34AD12C8"/>
    <w:rsid w:val="34BE22A6"/>
    <w:rsid w:val="34C0638E"/>
    <w:rsid w:val="350B672B"/>
    <w:rsid w:val="354054BD"/>
    <w:rsid w:val="35534DE7"/>
    <w:rsid w:val="35901ED1"/>
    <w:rsid w:val="35B66044"/>
    <w:rsid w:val="35F26598"/>
    <w:rsid w:val="35FB5DAA"/>
    <w:rsid w:val="36335C72"/>
    <w:rsid w:val="364E1306"/>
    <w:rsid w:val="368E3906"/>
    <w:rsid w:val="368F7125"/>
    <w:rsid w:val="36B028BB"/>
    <w:rsid w:val="36FC22C6"/>
    <w:rsid w:val="37105832"/>
    <w:rsid w:val="3746429A"/>
    <w:rsid w:val="377B1976"/>
    <w:rsid w:val="384647A2"/>
    <w:rsid w:val="387A08BD"/>
    <w:rsid w:val="38974C2E"/>
    <w:rsid w:val="391B6A21"/>
    <w:rsid w:val="397673E9"/>
    <w:rsid w:val="397A5853"/>
    <w:rsid w:val="398C6D0E"/>
    <w:rsid w:val="398D5427"/>
    <w:rsid w:val="39AB4D7E"/>
    <w:rsid w:val="39FF401A"/>
    <w:rsid w:val="3A1D4D5F"/>
    <w:rsid w:val="3A697FE8"/>
    <w:rsid w:val="3A9F078C"/>
    <w:rsid w:val="3AAE7DC5"/>
    <w:rsid w:val="3AFA260E"/>
    <w:rsid w:val="3B181F5F"/>
    <w:rsid w:val="3B431679"/>
    <w:rsid w:val="3B86665C"/>
    <w:rsid w:val="3BCC5F73"/>
    <w:rsid w:val="3BE9755F"/>
    <w:rsid w:val="3BF468F9"/>
    <w:rsid w:val="3C083B12"/>
    <w:rsid w:val="3C22102D"/>
    <w:rsid w:val="3C6166B1"/>
    <w:rsid w:val="3CA86C5C"/>
    <w:rsid w:val="3CC47825"/>
    <w:rsid w:val="3D2A32D9"/>
    <w:rsid w:val="3D393A58"/>
    <w:rsid w:val="3D743C8E"/>
    <w:rsid w:val="3D7B1DDF"/>
    <w:rsid w:val="3D813A95"/>
    <w:rsid w:val="3DB65988"/>
    <w:rsid w:val="3DCF0ABD"/>
    <w:rsid w:val="3DD0372E"/>
    <w:rsid w:val="3DE474FA"/>
    <w:rsid w:val="3E007A09"/>
    <w:rsid w:val="3E0D7C88"/>
    <w:rsid w:val="3E861A7B"/>
    <w:rsid w:val="3EB618B8"/>
    <w:rsid w:val="3EBE3A78"/>
    <w:rsid w:val="3F0B1351"/>
    <w:rsid w:val="3F2928AE"/>
    <w:rsid w:val="3F3D5301"/>
    <w:rsid w:val="3F650E3A"/>
    <w:rsid w:val="3F9E449B"/>
    <w:rsid w:val="3FAF48AE"/>
    <w:rsid w:val="3FFD7212"/>
    <w:rsid w:val="401D55A5"/>
    <w:rsid w:val="40C30B1A"/>
    <w:rsid w:val="40C542D2"/>
    <w:rsid w:val="40DA15C4"/>
    <w:rsid w:val="40DE1B33"/>
    <w:rsid w:val="410E209E"/>
    <w:rsid w:val="4145576F"/>
    <w:rsid w:val="41792B42"/>
    <w:rsid w:val="41A17FC1"/>
    <w:rsid w:val="41AC51ED"/>
    <w:rsid w:val="41C2338A"/>
    <w:rsid w:val="41C90199"/>
    <w:rsid w:val="41D32E69"/>
    <w:rsid w:val="420E1496"/>
    <w:rsid w:val="422F6149"/>
    <w:rsid w:val="424C36BC"/>
    <w:rsid w:val="424F4AF7"/>
    <w:rsid w:val="42B36F1A"/>
    <w:rsid w:val="43651D04"/>
    <w:rsid w:val="43AA4D8B"/>
    <w:rsid w:val="43F96DF3"/>
    <w:rsid w:val="44086C11"/>
    <w:rsid w:val="44594C2C"/>
    <w:rsid w:val="44706E26"/>
    <w:rsid w:val="44CC0AB9"/>
    <w:rsid w:val="44D543E6"/>
    <w:rsid w:val="44DA1B50"/>
    <w:rsid w:val="4521098E"/>
    <w:rsid w:val="45310918"/>
    <w:rsid w:val="453B568E"/>
    <w:rsid w:val="455C1189"/>
    <w:rsid w:val="4563460B"/>
    <w:rsid w:val="45AA0EAC"/>
    <w:rsid w:val="46532BC9"/>
    <w:rsid w:val="466F7ADE"/>
    <w:rsid w:val="46A10A92"/>
    <w:rsid w:val="46A20A9D"/>
    <w:rsid w:val="46A217F8"/>
    <w:rsid w:val="46C30AA8"/>
    <w:rsid w:val="46E251D3"/>
    <w:rsid w:val="475F11DD"/>
    <w:rsid w:val="47747AFC"/>
    <w:rsid w:val="47BD2803"/>
    <w:rsid w:val="47C14C58"/>
    <w:rsid w:val="47E17C59"/>
    <w:rsid w:val="481F55FF"/>
    <w:rsid w:val="482053E0"/>
    <w:rsid w:val="48BE66F2"/>
    <w:rsid w:val="49033A53"/>
    <w:rsid w:val="490C4670"/>
    <w:rsid w:val="491B52E9"/>
    <w:rsid w:val="49317F71"/>
    <w:rsid w:val="4967399C"/>
    <w:rsid w:val="49715776"/>
    <w:rsid w:val="49857F5F"/>
    <w:rsid w:val="499E0A0D"/>
    <w:rsid w:val="49A6786C"/>
    <w:rsid w:val="49C3072F"/>
    <w:rsid w:val="49D736CF"/>
    <w:rsid w:val="49DC3E82"/>
    <w:rsid w:val="4A667A06"/>
    <w:rsid w:val="4A911E09"/>
    <w:rsid w:val="4A9A2EAA"/>
    <w:rsid w:val="4AAE5141"/>
    <w:rsid w:val="4ADF07AB"/>
    <w:rsid w:val="4AF17756"/>
    <w:rsid w:val="4B3168FA"/>
    <w:rsid w:val="4B4D497B"/>
    <w:rsid w:val="4B55743C"/>
    <w:rsid w:val="4B727994"/>
    <w:rsid w:val="4C141E92"/>
    <w:rsid w:val="4C380057"/>
    <w:rsid w:val="4C3D16B2"/>
    <w:rsid w:val="4C970271"/>
    <w:rsid w:val="4D731156"/>
    <w:rsid w:val="4D965AD8"/>
    <w:rsid w:val="4DAA4CDB"/>
    <w:rsid w:val="4DAF18B3"/>
    <w:rsid w:val="4DCC2B0D"/>
    <w:rsid w:val="4E3555F5"/>
    <w:rsid w:val="4E9D6AEF"/>
    <w:rsid w:val="4F1B5DA5"/>
    <w:rsid w:val="4F3873D2"/>
    <w:rsid w:val="4FAC3E91"/>
    <w:rsid w:val="4FBB69AD"/>
    <w:rsid w:val="4FDE2B40"/>
    <w:rsid w:val="4FFB5A09"/>
    <w:rsid w:val="50014D7D"/>
    <w:rsid w:val="509027AA"/>
    <w:rsid w:val="5097262D"/>
    <w:rsid w:val="50A27D5C"/>
    <w:rsid w:val="50BA00AF"/>
    <w:rsid w:val="50F61B3E"/>
    <w:rsid w:val="51542A03"/>
    <w:rsid w:val="51732544"/>
    <w:rsid w:val="518C1B00"/>
    <w:rsid w:val="519454B6"/>
    <w:rsid w:val="51F66308"/>
    <w:rsid w:val="52020023"/>
    <w:rsid w:val="524C4DE8"/>
    <w:rsid w:val="52935D85"/>
    <w:rsid w:val="52AA362F"/>
    <w:rsid w:val="52E20532"/>
    <w:rsid w:val="53083261"/>
    <w:rsid w:val="53154FBE"/>
    <w:rsid w:val="53335036"/>
    <w:rsid w:val="533A67D7"/>
    <w:rsid w:val="538A3120"/>
    <w:rsid w:val="53A30B2D"/>
    <w:rsid w:val="53AA7AA6"/>
    <w:rsid w:val="53B3781A"/>
    <w:rsid w:val="53F64996"/>
    <w:rsid w:val="54154CC9"/>
    <w:rsid w:val="543C6FD6"/>
    <w:rsid w:val="54442821"/>
    <w:rsid w:val="5458111C"/>
    <w:rsid w:val="54601891"/>
    <w:rsid w:val="546504E3"/>
    <w:rsid w:val="547F0FA5"/>
    <w:rsid w:val="549B2A01"/>
    <w:rsid w:val="54B27BF2"/>
    <w:rsid w:val="54DE316F"/>
    <w:rsid w:val="54F64879"/>
    <w:rsid w:val="559D5714"/>
    <w:rsid w:val="562B32DD"/>
    <w:rsid w:val="56B14ACB"/>
    <w:rsid w:val="571540B4"/>
    <w:rsid w:val="572A539A"/>
    <w:rsid w:val="575010B2"/>
    <w:rsid w:val="57A75154"/>
    <w:rsid w:val="57D72698"/>
    <w:rsid w:val="57D95C34"/>
    <w:rsid w:val="57DBB10A"/>
    <w:rsid w:val="580E668F"/>
    <w:rsid w:val="590D335F"/>
    <w:rsid w:val="591E5927"/>
    <w:rsid w:val="59F45609"/>
    <w:rsid w:val="5A083AC9"/>
    <w:rsid w:val="5A4C12F1"/>
    <w:rsid w:val="5AB02FD2"/>
    <w:rsid w:val="5AFD1930"/>
    <w:rsid w:val="5B7A4AE6"/>
    <w:rsid w:val="5B855A7E"/>
    <w:rsid w:val="5B863DC8"/>
    <w:rsid w:val="5BB96F15"/>
    <w:rsid w:val="5BBB33E3"/>
    <w:rsid w:val="5CFD3FE4"/>
    <w:rsid w:val="5D062826"/>
    <w:rsid w:val="5D0E33C3"/>
    <w:rsid w:val="5D1066DD"/>
    <w:rsid w:val="5D725FC2"/>
    <w:rsid w:val="5D7B283F"/>
    <w:rsid w:val="5D8B4BA2"/>
    <w:rsid w:val="5DBD895C"/>
    <w:rsid w:val="5DD73726"/>
    <w:rsid w:val="5DE64428"/>
    <w:rsid w:val="5E6F785F"/>
    <w:rsid w:val="5E730B67"/>
    <w:rsid w:val="5E866BDB"/>
    <w:rsid w:val="5E9273C4"/>
    <w:rsid w:val="5F4B3FCD"/>
    <w:rsid w:val="5F5536E9"/>
    <w:rsid w:val="5F75182C"/>
    <w:rsid w:val="5F8C414A"/>
    <w:rsid w:val="5F9A2E36"/>
    <w:rsid w:val="5F9BB59D"/>
    <w:rsid w:val="5FA56C24"/>
    <w:rsid w:val="5FB4761A"/>
    <w:rsid w:val="5FBE546B"/>
    <w:rsid w:val="5FCD6DC8"/>
    <w:rsid w:val="5FDC008E"/>
    <w:rsid w:val="5FEF29DD"/>
    <w:rsid w:val="603A03C3"/>
    <w:rsid w:val="60821219"/>
    <w:rsid w:val="60B547CD"/>
    <w:rsid w:val="60BF2E83"/>
    <w:rsid w:val="60BF760F"/>
    <w:rsid w:val="60F154DE"/>
    <w:rsid w:val="612C3009"/>
    <w:rsid w:val="61865820"/>
    <w:rsid w:val="619F1B47"/>
    <w:rsid w:val="61E06195"/>
    <w:rsid w:val="62AC7413"/>
    <w:rsid w:val="63546FFD"/>
    <w:rsid w:val="637885A6"/>
    <w:rsid w:val="638C278F"/>
    <w:rsid w:val="63F563D0"/>
    <w:rsid w:val="64264FCD"/>
    <w:rsid w:val="6454034C"/>
    <w:rsid w:val="64822F48"/>
    <w:rsid w:val="64A24BFA"/>
    <w:rsid w:val="64C81EA2"/>
    <w:rsid w:val="64CF657F"/>
    <w:rsid w:val="64E27C04"/>
    <w:rsid w:val="65054593"/>
    <w:rsid w:val="65371B8B"/>
    <w:rsid w:val="653E1421"/>
    <w:rsid w:val="654842D5"/>
    <w:rsid w:val="657C0986"/>
    <w:rsid w:val="65A632F2"/>
    <w:rsid w:val="65DC123B"/>
    <w:rsid w:val="660F7772"/>
    <w:rsid w:val="666E1857"/>
    <w:rsid w:val="67483EAF"/>
    <w:rsid w:val="67FB26B0"/>
    <w:rsid w:val="680A5E78"/>
    <w:rsid w:val="68106391"/>
    <w:rsid w:val="6828479E"/>
    <w:rsid w:val="68691D24"/>
    <w:rsid w:val="68857E06"/>
    <w:rsid w:val="68896A4D"/>
    <w:rsid w:val="68AA7D7C"/>
    <w:rsid w:val="68C615F0"/>
    <w:rsid w:val="68E10A49"/>
    <w:rsid w:val="68EC12AE"/>
    <w:rsid w:val="696F346D"/>
    <w:rsid w:val="698A11BB"/>
    <w:rsid w:val="699E72FA"/>
    <w:rsid w:val="6A3C648D"/>
    <w:rsid w:val="6A8308DD"/>
    <w:rsid w:val="6A9A333E"/>
    <w:rsid w:val="6B1928FD"/>
    <w:rsid w:val="6B345FBF"/>
    <w:rsid w:val="6B4F110A"/>
    <w:rsid w:val="6B5B7093"/>
    <w:rsid w:val="6B7C43DD"/>
    <w:rsid w:val="6BAF7C80"/>
    <w:rsid w:val="6BBA7064"/>
    <w:rsid w:val="6BD46A09"/>
    <w:rsid w:val="6C403EAF"/>
    <w:rsid w:val="6C675F25"/>
    <w:rsid w:val="6C712143"/>
    <w:rsid w:val="6C77476A"/>
    <w:rsid w:val="6D6C237D"/>
    <w:rsid w:val="6D8E3C52"/>
    <w:rsid w:val="6DB40BBC"/>
    <w:rsid w:val="6DB46023"/>
    <w:rsid w:val="6DB77711"/>
    <w:rsid w:val="6E510C8B"/>
    <w:rsid w:val="6E7B23D2"/>
    <w:rsid w:val="6EA97635"/>
    <w:rsid w:val="6EAF0FF0"/>
    <w:rsid w:val="6EDD5A56"/>
    <w:rsid w:val="6EE52E0A"/>
    <w:rsid w:val="6F7FABBB"/>
    <w:rsid w:val="6FB95D8F"/>
    <w:rsid w:val="7008000C"/>
    <w:rsid w:val="701B48D8"/>
    <w:rsid w:val="70E917B3"/>
    <w:rsid w:val="71281C02"/>
    <w:rsid w:val="71646ACB"/>
    <w:rsid w:val="71734E2F"/>
    <w:rsid w:val="71984AF2"/>
    <w:rsid w:val="719956FE"/>
    <w:rsid w:val="71E11E8B"/>
    <w:rsid w:val="71E861CF"/>
    <w:rsid w:val="71F81C67"/>
    <w:rsid w:val="71FE15AE"/>
    <w:rsid w:val="722B7E4F"/>
    <w:rsid w:val="7277429B"/>
    <w:rsid w:val="72811FA7"/>
    <w:rsid w:val="728D670D"/>
    <w:rsid w:val="73DA3FA3"/>
    <w:rsid w:val="73DF4AF8"/>
    <w:rsid w:val="73EFAF9D"/>
    <w:rsid w:val="7414019C"/>
    <w:rsid w:val="741C46C2"/>
    <w:rsid w:val="74A524B1"/>
    <w:rsid w:val="74E53512"/>
    <w:rsid w:val="75211D67"/>
    <w:rsid w:val="75354BE5"/>
    <w:rsid w:val="753771CF"/>
    <w:rsid w:val="753C2694"/>
    <w:rsid w:val="754337A5"/>
    <w:rsid w:val="75466A0C"/>
    <w:rsid w:val="755A139D"/>
    <w:rsid w:val="75D152A0"/>
    <w:rsid w:val="76342C97"/>
    <w:rsid w:val="765977B0"/>
    <w:rsid w:val="76943F37"/>
    <w:rsid w:val="76964D8B"/>
    <w:rsid w:val="771238EC"/>
    <w:rsid w:val="771576FA"/>
    <w:rsid w:val="77174517"/>
    <w:rsid w:val="771951D4"/>
    <w:rsid w:val="773F0EE4"/>
    <w:rsid w:val="7745022F"/>
    <w:rsid w:val="77C80CD8"/>
    <w:rsid w:val="782434B7"/>
    <w:rsid w:val="78466EB8"/>
    <w:rsid w:val="7886513F"/>
    <w:rsid w:val="78892676"/>
    <w:rsid w:val="792E0D19"/>
    <w:rsid w:val="793659C6"/>
    <w:rsid w:val="794A7279"/>
    <w:rsid w:val="798271A5"/>
    <w:rsid w:val="79D157B7"/>
    <w:rsid w:val="7A0B6CB7"/>
    <w:rsid w:val="7A5E360A"/>
    <w:rsid w:val="7A643382"/>
    <w:rsid w:val="7A8A0AA9"/>
    <w:rsid w:val="7A9FEA24"/>
    <w:rsid w:val="7ACD20AD"/>
    <w:rsid w:val="7B0F0C17"/>
    <w:rsid w:val="7B62155D"/>
    <w:rsid w:val="7BBF0906"/>
    <w:rsid w:val="7BED0B4F"/>
    <w:rsid w:val="7BEF6541"/>
    <w:rsid w:val="7C026B8C"/>
    <w:rsid w:val="7C0E2BA6"/>
    <w:rsid w:val="7C487C8E"/>
    <w:rsid w:val="7CD52C97"/>
    <w:rsid w:val="7D1D746F"/>
    <w:rsid w:val="7D2A4C03"/>
    <w:rsid w:val="7D5A4056"/>
    <w:rsid w:val="7DAB3626"/>
    <w:rsid w:val="7DEA7E09"/>
    <w:rsid w:val="7DF55E46"/>
    <w:rsid w:val="7E0A6520"/>
    <w:rsid w:val="7E1B1539"/>
    <w:rsid w:val="7E3030AF"/>
    <w:rsid w:val="7E5F0652"/>
    <w:rsid w:val="7EBA42E1"/>
    <w:rsid w:val="7ECD5AD7"/>
    <w:rsid w:val="7EF61BE3"/>
    <w:rsid w:val="7F19249E"/>
    <w:rsid w:val="7F3D6916"/>
    <w:rsid w:val="7F4C1BD1"/>
    <w:rsid w:val="7F5E6F44"/>
    <w:rsid w:val="7F620069"/>
    <w:rsid w:val="7F943F03"/>
    <w:rsid w:val="7F97736D"/>
    <w:rsid w:val="7FAE3501"/>
    <w:rsid w:val="7FC31DA1"/>
    <w:rsid w:val="7FE934A1"/>
    <w:rsid w:val="7FFE1E56"/>
    <w:rsid w:val="8FCF6AAB"/>
    <w:rsid w:val="96D49955"/>
    <w:rsid w:val="9EFECD7A"/>
    <w:rsid w:val="B3FFB692"/>
    <w:rsid w:val="B7BF74E6"/>
    <w:rsid w:val="BD7D3085"/>
    <w:rsid w:val="BDB3BA21"/>
    <w:rsid w:val="BEFFA809"/>
    <w:rsid w:val="CF9FF25B"/>
    <w:rsid w:val="D7B5FC90"/>
    <w:rsid w:val="DDEF9FA5"/>
    <w:rsid w:val="DECC0D64"/>
    <w:rsid w:val="DEEA9EE6"/>
    <w:rsid w:val="E7BE9203"/>
    <w:rsid w:val="EAFFF403"/>
    <w:rsid w:val="EBBF9324"/>
    <w:rsid w:val="EFDE46A6"/>
    <w:rsid w:val="F7BF584A"/>
    <w:rsid w:val="FB777998"/>
    <w:rsid w:val="FBFE46C9"/>
    <w:rsid w:val="FCF502D9"/>
    <w:rsid w:val="FEBF9A60"/>
    <w:rsid w:val="FF776D8C"/>
    <w:rsid w:val="FFBADA6C"/>
    <w:rsid w:val="FFDFCB66"/>
    <w:rsid w:val="FFFBBD2E"/>
    <w:rsid w:val="FFFF5E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imes New Roman" w:hAnsi="Times New Roman" w:eastAsia="宋体" w:cs="Times New Roman"/>
      <w:kern w:val="2"/>
      <w:sz w:val="32"/>
      <w:szCs w:val="24"/>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4">
    <w:name w:val="heading 2"/>
    <w:basedOn w:val="1"/>
    <w:next w:val="1"/>
    <w:autoRedefine/>
    <w:qFormat/>
    <w:uiPriority w:val="0"/>
    <w:pPr>
      <w:keepNext/>
      <w:keepLines/>
      <w:spacing w:before="260" w:after="260" w:line="416" w:lineRule="auto"/>
      <w:outlineLvl w:val="1"/>
    </w:pPr>
    <w:rPr>
      <w:rFonts w:ascii="Arial" w:hAnsi="Arial" w:eastAsia="黑体"/>
      <w:b/>
      <w:bCs/>
      <w:szCs w:val="32"/>
    </w:rPr>
  </w:style>
  <w:style w:type="paragraph" w:styleId="5">
    <w:name w:val="heading 3"/>
    <w:basedOn w:val="1"/>
    <w:next w:val="1"/>
    <w:link w:val="41"/>
    <w:semiHidden/>
    <w:unhideWhenUsed/>
    <w:qFormat/>
    <w:uiPriority w:val="9"/>
    <w:pPr>
      <w:keepNext/>
      <w:keepLines/>
      <w:spacing w:before="260" w:after="260" w:line="416" w:lineRule="auto"/>
      <w:outlineLvl w:val="2"/>
    </w:pPr>
    <w:rPr>
      <w:b/>
      <w:bCs/>
      <w:szCs w:val="32"/>
    </w:rPr>
  </w:style>
  <w:style w:type="character" w:default="1" w:styleId="19">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42"/>
    <w:autoRedefine/>
    <w:qFormat/>
    <w:uiPriority w:val="0"/>
    <w:pPr>
      <w:spacing w:after="120"/>
    </w:pPr>
    <w:rPr>
      <w:rFonts w:ascii="Arial" w:hAnsi="Arial" w:cs="Verdana"/>
      <w:lang w:eastAsia="en-US"/>
    </w:rPr>
  </w:style>
  <w:style w:type="paragraph" w:styleId="6">
    <w:name w:val="Normal Indent"/>
    <w:basedOn w:val="1"/>
    <w:autoRedefine/>
    <w:qFormat/>
    <w:uiPriority w:val="0"/>
    <w:pPr>
      <w:spacing w:line="400" w:lineRule="exact"/>
    </w:pPr>
    <w:rPr>
      <w:sz w:val="24"/>
      <w:szCs w:val="20"/>
    </w:rPr>
  </w:style>
  <w:style w:type="paragraph" w:styleId="7">
    <w:name w:val="Body Text Indent"/>
    <w:basedOn w:val="1"/>
    <w:autoRedefine/>
    <w:qFormat/>
    <w:uiPriority w:val="0"/>
    <w:pPr>
      <w:spacing w:line="360" w:lineRule="auto"/>
      <w:ind w:firstLine="594"/>
    </w:pPr>
    <w:rPr>
      <w:rFonts w:eastAsia="仿宋_GB2312"/>
      <w:color w:val="000000"/>
      <w:szCs w:val="28"/>
    </w:rPr>
  </w:style>
  <w:style w:type="paragraph" w:styleId="8">
    <w:name w:val="Plain Text"/>
    <w:basedOn w:val="1"/>
    <w:link w:val="39"/>
    <w:autoRedefine/>
    <w:unhideWhenUsed/>
    <w:qFormat/>
    <w:uiPriority w:val="0"/>
    <w:rPr>
      <w:rFonts w:ascii="宋体" w:hAnsi="Courier New" w:cs="Courier New"/>
      <w:szCs w:val="21"/>
    </w:rPr>
  </w:style>
  <w:style w:type="paragraph" w:styleId="9">
    <w:name w:val="Date"/>
    <w:basedOn w:val="1"/>
    <w:next w:val="1"/>
    <w:link w:val="27"/>
    <w:semiHidden/>
    <w:unhideWhenUsed/>
    <w:qFormat/>
    <w:uiPriority w:val="99"/>
    <w:pPr>
      <w:ind w:left="100" w:leftChars="2500"/>
    </w:pPr>
  </w:style>
  <w:style w:type="paragraph" w:styleId="10">
    <w:name w:val="Body Text Indent 2"/>
    <w:basedOn w:val="1"/>
    <w:link w:val="25"/>
    <w:qFormat/>
    <w:uiPriority w:val="0"/>
    <w:pPr>
      <w:ind w:firstLine="596"/>
    </w:pPr>
    <w:rPr>
      <w:rFonts w:ascii="楷体_GB2312" w:eastAsia="楷体_GB2312"/>
      <w:b/>
      <w:bCs/>
      <w:szCs w:val="28"/>
    </w:rPr>
  </w:style>
  <w:style w:type="paragraph" w:styleId="11">
    <w:name w:val="Balloon Text"/>
    <w:basedOn w:val="1"/>
    <w:autoRedefine/>
    <w:qFormat/>
    <w:uiPriority w:val="0"/>
    <w:rPr>
      <w:sz w:val="18"/>
      <w:szCs w:val="18"/>
    </w:rPr>
  </w:style>
  <w:style w:type="paragraph" w:styleId="12">
    <w:name w:val="footer"/>
    <w:basedOn w:val="1"/>
    <w:link w:val="28"/>
    <w:autoRedefine/>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footnote text"/>
    <w:basedOn w:val="1"/>
    <w:link w:val="30"/>
    <w:autoRedefine/>
    <w:qFormat/>
    <w:uiPriority w:val="0"/>
    <w:pPr>
      <w:snapToGrid w:val="0"/>
      <w:jc w:val="left"/>
    </w:pPr>
    <w:rPr>
      <w:sz w:val="18"/>
      <w:szCs w:val="18"/>
    </w:rPr>
  </w:style>
  <w:style w:type="paragraph" w:styleId="15">
    <w:name w:val="Body Text Indent 3"/>
    <w:basedOn w:val="1"/>
    <w:autoRedefine/>
    <w:qFormat/>
    <w:uiPriority w:val="0"/>
    <w:pPr>
      <w:spacing w:line="360" w:lineRule="auto"/>
      <w:ind w:left="594"/>
    </w:pPr>
    <w:rPr>
      <w:rFonts w:ascii="楷体_GB2312" w:eastAsia="楷体_GB2312"/>
      <w:color w:val="000000"/>
      <w:szCs w:val="28"/>
    </w:rPr>
  </w:style>
  <w:style w:type="paragraph" w:styleId="16">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17">
    <w:name w:val="Body Text First Indent"/>
    <w:basedOn w:val="2"/>
    <w:link w:val="45"/>
    <w:autoRedefine/>
    <w:semiHidden/>
    <w:unhideWhenUsed/>
    <w:qFormat/>
    <w:uiPriority w:val="99"/>
    <w:pPr>
      <w:ind w:firstLine="420" w:firstLineChars="100"/>
    </w:pPr>
    <w:rPr>
      <w:rFonts w:ascii="Times New Roman" w:hAnsi="Times New Roman" w:cs="Times New Roman"/>
      <w:lang w:eastAsia="zh-CN"/>
    </w:rPr>
  </w:style>
  <w:style w:type="character" w:styleId="20">
    <w:name w:val="page number"/>
    <w:basedOn w:val="19"/>
    <w:autoRedefine/>
    <w:qFormat/>
    <w:uiPriority w:val="0"/>
  </w:style>
  <w:style w:type="character" w:styleId="21">
    <w:name w:val="FollowedHyperlink"/>
    <w:qFormat/>
    <w:uiPriority w:val="0"/>
    <w:rPr>
      <w:color w:val="800080"/>
      <w:u w:val="single"/>
    </w:rPr>
  </w:style>
  <w:style w:type="character" w:styleId="22">
    <w:name w:val="Hyperlink"/>
    <w:qFormat/>
    <w:uiPriority w:val="0"/>
    <w:rPr>
      <w:color w:val="000000"/>
      <w:u w:val="none"/>
    </w:rPr>
  </w:style>
  <w:style w:type="character" w:styleId="23">
    <w:name w:val="footnote reference"/>
    <w:basedOn w:val="19"/>
    <w:qFormat/>
    <w:uiPriority w:val="0"/>
    <w:rPr>
      <w:vertAlign w:val="superscript"/>
    </w:rPr>
  </w:style>
  <w:style w:type="paragraph" w:customStyle="1" w:styleId="24">
    <w:name w:val="Default"/>
    <w:qFormat/>
    <w:uiPriority w:val="0"/>
    <w:pPr>
      <w:widowControl w:val="0"/>
      <w:autoSpaceDE w:val="0"/>
      <w:autoSpaceDN w:val="0"/>
      <w:adjustRightInd w:val="0"/>
      <w:spacing w:line="600" w:lineRule="exact"/>
      <w:ind w:firstLine="200" w:firstLineChars="200"/>
    </w:pPr>
    <w:rPr>
      <w:rFonts w:ascii="宋体" w:hAnsi="Calibri" w:eastAsia="宋体" w:cs="宋体"/>
      <w:color w:val="000000"/>
      <w:sz w:val="24"/>
      <w:szCs w:val="24"/>
      <w:lang w:val="en-US" w:eastAsia="zh-CN" w:bidi="ar-SA"/>
    </w:rPr>
  </w:style>
  <w:style w:type="character" w:customStyle="1" w:styleId="25">
    <w:name w:val="正文文本缩进 2 Char"/>
    <w:link w:val="10"/>
    <w:qFormat/>
    <w:uiPriority w:val="0"/>
    <w:rPr>
      <w:rFonts w:ascii="楷体_GB2312" w:eastAsia="楷体_GB2312"/>
      <w:b/>
      <w:bCs/>
      <w:kern w:val="2"/>
      <w:sz w:val="32"/>
      <w:szCs w:val="28"/>
    </w:rPr>
  </w:style>
  <w:style w:type="paragraph" w:customStyle="1" w:styleId="26">
    <w:name w:val="列出段落1"/>
    <w:basedOn w:val="1"/>
    <w:qFormat/>
    <w:uiPriority w:val="34"/>
    <w:pPr>
      <w:ind w:firstLine="420"/>
    </w:pPr>
  </w:style>
  <w:style w:type="character" w:customStyle="1" w:styleId="27">
    <w:name w:val="日期 Char"/>
    <w:link w:val="9"/>
    <w:semiHidden/>
    <w:qFormat/>
    <w:uiPriority w:val="99"/>
    <w:rPr>
      <w:kern w:val="2"/>
      <w:sz w:val="32"/>
      <w:szCs w:val="24"/>
    </w:rPr>
  </w:style>
  <w:style w:type="character" w:customStyle="1" w:styleId="28">
    <w:name w:val="页脚 Char"/>
    <w:basedOn w:val="19"/>
    <w:link w:val="12"/>
    <w:qFormat/>
    <w:uiPriority w:val="99"/>
    <w:rPr>
      <w:rFonts w:ascii="Times New Roman" w:hAnsi="Times New Roman" w:eastAsia="宋体" w:cs="Times New Roman"/>
      <w:kern w:val="2"/>
      <w:sz w:val="18"/>
      <w:szCs w:val="18"/>
    </w:rPr>
  </w:style>
  <w:style w:type="paragraph" w:styleId="29">
    <w:name w:val="List Paragraph"/>
    <w:basedOn w:val="1"/>
    <w:unhideWhenUsed/>
    <w:qFormat/>
    <w:uiPriority w:val="99"/>
    <w:pPr>
      <w:ind w:firstLine="420"/>
    </w:pPr>
  </w:style>
  <w:style w:type="character" w:customStyle="1" w:styleId="30">
    <w:name w:val="脚注文本 Char"/>
    <w:link w:val="14"/>
    <w:qFormat/>
    <w:uiPriority w:val="0"/>
    <w:rPr>
      <w:rFonts w:ascii="Times New Roman" w:hAnsi="Times New Roman"/>
      <w:kern w:val="2"/>
      <w:sz w:val="18"/>
      <w:szCs w:val="18"/>
    </w:rPr>
  </w:style>
  <w:style w:type="paragraph" w:customStyle="1" w:styleId="31">
    <w:name w:val="p0"/>
    <w:basedOn w:val="1"/>
    <w:qFormat/>
    <w:uiPriority w:val="0"/>
    <w:pPr>
      <w:widowControl/>
    </w:pPr>
    <w:rPr>
      <w:rFonts w:ascii="Calibri" w:hAnsi="Calibri" w:cs="宋体"/>
      <w:kern w:val="0"/>
      <w:szCs w:val="21"/>
    </w:rPr>
  </w:style>
  <w:style w:type="paragraph" w:customStyle="1" w:styleId="32">
    <w:name w:val="我的正文"/>
    <w:basedOn w:val="1"/>
    <w:qFormat/>
    <w:uiPriority w:val="0"/>
    <w:pPr>
      <w:adjustRightInd w:val="0"/>
      <w:snapToGrid w:val="0"/>
      <w:spacing w:line="520" w:lineRule="exact"/>
    </w:pPr>
    <w:rPr>
      <w:rFonts w:eastAsia="华文中宋"/>
      <w:sz w:val="24"/>
    </w:rPr>
  </w:style>
  <w:style w:type="paragraph" w:customStyle="1" w:styleId="33">
    <w:name w:val="样式 评价正文 + 首行缩进:  2 字符"/>
    <w:basedOn w:val="1"/>
    <w:qFormat/>
    <w:uiPriority w:val="0"/>
    <w:pPr>
      <w:spacing w:line="360" w:lineRule="auto"/>
    </w:pPr>
    <w:rPr>
      <w:rFonts w:cs="宋体"/>
      <w:szCs w:val="20"/>
    </w:rPr>
  </w:style>
  <w:style w:type="paragraph" w:customStyle="1" w:styleId="34">
    <w:name w:val="评价报告正文"/>
    <w:basedOn w:val="1"/>
    <w:qFormat/>
    <w:uiPriority w:val="0"/>
    <w:pPr>
      <w:spacing w:line="360" w:lineRule="auto"/>
      <w:ind w:firstLine="480"/>
    </w:pPr>
    <w:rPr>
      <w:szCs w:val="20"/>
    </w:rPr>
  </w:style>
  <w:style w:type="paragraph" w:customStyle="1" w:styleId="35">
    <w:name w:val="09.12.10"/>
    <w:basedOn w:val="1"/>
    <w:qFormat/>
    <w:uiPriority w:val="0"/>
    <w:pPr>
      <w:adjustRightInd w:val="0"/>
      <w:snapToGrid w:val="0"/>
      <w:spacing w:line="336" w:lineRule="auto"/>
    </w:pPr>
    <w:rPr>
      <w:rFonts w:ascii="宋体"/>
      <w:bCs/>
      <w:kern w:val="0"/>
      <w:sz w:val="28"/>
      <w:szCs w:val="22"/>
    </w:rPr>
  </w:style>
  <w:style w:type="character" w:customStyle="1" w:styleId="36">
    <w:name w:val="字紧0.2 Char"/>
    <w:qFormat/>
    <w:uiPriority w:val="0"/>
    <w:rPr>
      <w:rFonts w:ascii="宋体" w:eastAsia="宋体"/>
      <w:bCs/>
      <w:snapToGrid w:val="0"/>
      <w:color w:val="000000"/>
      <w:spacing w:val="-4"/>
      <w:sz w:val="28"/>
      <w:szCs w:val="28"/>
      <w:lang w:val="en-US" w:eastAsia="zh-CN" w:bidi="ar-SA"/>
    </w:rPr>
  </w:style>
  <w:style w:type="paragraph" w:customStyle="1" w:styleId="37">
    <w:name w:val="11111"/>
    <w:basedOn w:val="1"/>
    <w:qFormat/>
    <w:uiPriority w:val="0"/>
    <w:pPr>
      <w:ind w:firstLine="480"/>
    </w:pPr>
    <w:rPr>
      <w:rFonts w:ascii="宋体"/>
      <w:sz w:val="24"/>
    </w:rPr>
  </w:style>
  <w:style w:type="paragraph" w:customStyle="1" w:styleId="38">
    <w:name w:val="2-正文"/>
    <w:basedOn w:val="1"/>
    <w:qFormat/>
    <w:uiPriority w:val="0"/>
    <w:pPr>
      <w:spacing w:line="480" w:lineRule="exact"/>
    </w:pPr>
    <w:rPr>
      <w:rFonts w:ascii="宋体" w:hAnsi="宋体"/>
      <w:sz w:val="24"/>
    </w:rPr>
  </w:style>
  <w:style w:type="character" w:customStyle="1" w:styleId="39">
    <w:name w:val="纯文本 Char"/>
    <w:link w:val="8"/>
    <w:qFormat/>
    <w:uiPriority w:val="0"/>
    <w:rPr>
      <w:rFonts w:ascii="宋体" w:hAnsi="Courier New" w:eastAsia="宋体" w:cs="Courier New"/>
      <w:kern w:val="2"/>
      <w:sz w:val="32"/>
      <w:szCs w:val="21"/>
    </w:rPr>
  </w:style>
  <w:style w:type="paragraph" w:customStyle="1" w:styleId="40">
    <w:name w:val="正文a1"/>
    <w:basedOn w:val="1"/>
    <w:qFormat/>
    <w:uiPriority w:val="0"/>
    <w:pPr>
      <w:adjustRightInd w:val="0"/>
      <w:snapToGrid w:val="0"/>
      <w:spacing w:line="360" w:lineRule="auto"/>
      <w:ind w:firstLine="562"/>
    </w:pPr>
    <w:rPr>
      <w:rFonts w:hAnsi="宋体" w:cs="宋体"/>
      <w:b/>
      <w:bCs/>
      <w:kern w:val="0"/>
      <w:sz w:val="28"/>
      <w:szCs w:val="28"/>
    </w:rPr>
  </w:style>
  <w:style w:type="character" w:customStyle="1" w:styleId="41">
    <w:name w:val="标题 3 Char"/>
    <w:basedOn w:val="19"/>
    <w:link w:val="5"/>
    <w:semiHidden/>
    <w:qFormat/>
    <w:uiPriority w:val="9"/>
    <w:rPr>
      <w:rFonts w:ascii="Times New Roman" w:hAnsi="Times New Roman" w:eastAsia="宋体" w:cs="Times New Roman"/>
      <w:b/>
      <w:bCs/>
      <w:kern w:val="2"/>
      <w:sz w:val="32"/>
      <w:szCs w:val="32"/>
    </w:rPr>
  </w:style>
  <w:style w:type="character" w:customStyle="1" w:styleId="42">
    <w:name w:val="正文文本 Char"/>
    <w:basedOn w:val="19"/>
    <w:link w:val="2"/>
    <w:qFormat/>
    <w:uiPriority w:val="0"/>
    <w:rPr>
      <w:rFonts w:ascii="Arial" w:hAnsi="Arial" w:eastAsia="宋体" w:cs="Verdana"/>
      <w:kern w:val="2"/>
      <w:sz w:val="32"/>
      <w:szCs w:val="24"/>
      <w:lang w:eastAsia="en-US"/>
    </w:rPr>
  </w:style>
  <w:style w:type="character" w:customStyle="1" w:styleId="43">
    <w:name w:val="报告文字 Char2"/>
    <w:link w:val="44"/>
    <w:qFormat/>
    <w:uiPriority w:val="0"/>
    <w:rPr>
      <w:rFonts w:ascii="宋体" w:hAnsi="宋体" w:eastAsia="宋体" w:cs="Times New Roman"/>
      <w:sz w:val="30"/>
      <w:szCs w:val="30"/>
      <w:shd w:val="clear" w:color="auto" w:fill="FFFFFF"/>
    </w:rPr>
  </w:style>
  <w:style w:type="paragraph" w:customStyle="1" w:styleId="44">
    <w:name w:val="报告文字"/>
    <w:basedOn w:val="15"/>
    <w:link w:val="43"/>
    <w:qFormat/>
    <w:uiPriority w:val="0"/>
    <w:pPr>
      <w:shd w:val="clear" w:color="auto" w:fill="FFFFFF"/>
      <w:spacing w:line="240" w:lineRule="auto"/>
      <w:ind w:left="0" w:firstLine="600"/>
      <w:textAlignment w:val="center"/>
    </w:pPr>
    <w:rPr>
      <w:rFonts w:ascii="宋体" w:hAnsi="宋体" w:eastAsia="宋体"/>
      <w:color w:val="auto"/>
      <w:kern w:val="0"/>
      <w:sz w:val="30"/>
      <w:szCs w:val="30"/>
    </w:rPr>
  </w:style>
  <w:style w:type="character" w:customStyle="1" w:styleId="45">
    <w:name w:val="正文首行缩进 Char"/>
    <w:basedOn w:val="42"/>
    <w:link w:val="17"/>
    <w:semiHidden/>
    <w:qFormat/>
    <w:uiPriority w:val="99"/>
    <w:rPr>
      <w:rFonts w:ascii="Times New Roman" w:hAnsi="Times New Roman" w:eastAsia="宋体" w:cs="Times New Roman"/>
      <w:kern w:val="2"/>
      <w:sz w:val="32"/>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3838</Words>
  <Characters>21882</Characters>
  <Lines>182</Lines>
  <Paragraphs>51</Paragraphs>
  <TotalTime>152</TotalTime>
  <ScaleCrop>false</ScaleCrop>
  <LinksUpToDate>false</LinksUpToDate>
  <CharactersWithSpaces>25669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2021-03-22T07:08:00Z</dcterms:created>
  <dc:creator>503</dc:creator>
  <cp:lastModifiedBy>little fairy</cp:lastModifiedBy>
  <cp:lastPrinted>2021-03-22T07:06:00Z</cp:lastPrinted>
  <dcterms:modified xsi:type="dcterms:W3CDTF">2024-06-24T05:33:15Z</dcterms:modified>
  <dc:title>韩城市燎原矿业有限公司</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FAA46D6794AA486D8DDE8E2D0669066A_13</vt:lpwstr>
  </property>
</Properties>
</file>