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1967">
      <w:pPr>
        <w:pStyle w:val="2"/>
        <w:keepNext w:val="0"/>
        <w:keepLines w:val="0"/>
        <w:widowControl/>
        <w:suppressLineNumbers w:val="0"/>
        <w:shd w:val="clear" w:fill="FFFFFF"/>
        <w:spacing w:before="0" w:beforeAutospacing="0" w:after="435" w:afterAutospacing="0" w:line="420" w:lineRule="atLeast"/>
        <w:ind w:left="0" w:right="0" w:firstLine="0"/>
        <w:jc w:val="center"/>
        <w:rPr>
          <w:rFonts w:hint="default" w:ascii="Helvetica" w:hAnsi="Helvetica" w:eastAsia="Helvetica" w:cs="Helvetica"/>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shd w:val="clear" w:fill="FFFFFF"/>
        </w:rPr>
        <w:t>河北省沙河市李生文铁矿“11·20”特别重大火灾事故调查报</w:t>
      </w:r>
      <w:bookmarkStart w:id="0" w:name="_GoBack"/>
      <w:bookmarkEnd w:id="0"/>
      <w:r>
        <w:rPr>
          <w:rFonts w:hint="default" w:ascii="Helvetica" w:hAnsi="Helvetica" w:eastAsia="Helvetica" w:cs="Helvetica"/>
          <w:i w:val="0"/>
          <w:iCs w:val="0"/>
          <w:caps w:val="0"/>
          <w:color w:val="000000"/>
          <w:spacing w:val="0"/>
          <w:sz w:val="32"/>
          <w:szCs w:val="32"/>
          <w:shd w:val="clear" w:fill="FFFFFF"/>
        </w:rPr>
        <w:t>告</w:t>
      </w:r>
    </w:p>
    <w:p w14:paraId="00A722DD">
      <w:pPr>
        <w:pStyle w:val="2"/>
        <w:keepNext w:val="0"/>
        <w:keepLines w:val="0"/>
        <w:widowControl/>
        <w:suppressLineNumbers w:val="0"/>
        <w:shd w:val="clear" w:fill="FFFFFF"/>
        <w:spacing w:before="0" w:beforeAutospacing="0" w:after="435" w:afterAutospacing="0" w:line="420" w:lineRule="atLeast"/>
        <w:ind w:left="0" w:right="0" w:firstLine="0"/>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shd w:val="clear" w:fill="FFFFFF"/>
        </w:rPr>
        <w:t>2004年1月20日8时10分左右，河北省邢台市沙河市白塔镇章村李生文联办一矿（以下简称李生文矿）井下发生火灾，灾害波及相互连通的另外4处铁矿，造成70人死亡，直接经济损失604.75万元。</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　　事故发生后，党中央、国务院高度重视，温家宝总理和华建敏国务委员对事故抢救和查处工作分别作出重要批示和指示。</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　　根据国家有关法律法规，并报经国务院同意，成立了由原国家安全生产监督管理局副局长孙华山任组长，原国家安全生产监督管理局、监察部、国土资源部、全国总工会及河北省人民政府等单位有关负责同志组成的河北邢台“11.20”铁矿特别重大火灾事故调查组（以下简称事故调查组），并依法对事故展开调查工作。</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事故调查组通过现场勘察、调查取证和技术分析，查明了事故发生的经过、原因、性质和责任，提出了对有关责任人员的处理意见和非煤矿山安全的防范措施建议，现将事故调查结果报告如下：</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一、事故经过</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2004年11月20日凌晨4时许，李生文矿一平巷盲竖井的罐笼在提升矿石时发生卡罐故障，罐底被撞开，罐笼内约1吨的矿石掉落井底，罐笼被卡在离井口2-3米的位置不能上下移动。</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当班的绞车工张善贵随即上井向值班矿长元月平和维修工陈红亮报告，陈红亮和元月平先后下井进行检查和修理工作，其间，陈红亮在没有采取任何防护措施的情况下，3次使用电焊对罐笼角、井筒护架进行切割和焊接作业，至8时左右结束，元月平和陈红亮先后上井返回地面。</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当日上午8时10分左右，张善贵在绞车房发现提升罐笼的钢丝绳晃动，前往井口观察，发现盲竖井内起火，随即关掉绞车房内向下送电的闸刀开关并上井向元月平和陈红亮汇报，张善贵并与陈红亮一起下井。到达一平巷时烟雾已经很大，他们只能前行几十米，此处离事故盲井还有500多米，能见度不足1米。他们遂返回地面向元月平汇报。</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9时30分左右，元月平给生产矿长元玉柱打电话报告，9时50分左右元玉柱到达井口，打119报警，沙河市消防中队10时30分左右到达井口，但没有条件对井下火灾实施扑灭，建议打110报警，沙河市消防中队10时30分左右到达井口，但没有条件对井下火灾实施扑灭，建议打110报警请矿山救护队。110于10时37分接警，通知沙河市安全监管局。沙河市安全监管局已于10时35分接到岭南矿的电话报告，随即派副局长赶赴现场并报告了沙河市领导。</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沙河市政府接到事故报告后，组织公安、安全监管、国土资源、冶金、卫生、财政等部门组成抢险处理指挥部，紧急调集附近几个国营大矿和沙河市煤矿救护队、医疗卫生队伍和风机、电缆等抢险物资，全力抢救井下被困矿工；同时，调集省内8名矿山通风专家，共同制定抢险救灾实施方案。邢台市、河北省人民政府和原国家安全监管局有关领导相继赶到事故现场组织抢救工作。截至2004年11月27日10时，事故抢险指挥部共调集河北、河南、山西3省11个单位22个救护队的241名救护队员参加井下被困矿工的搜救工作，共抢救出52人，死亡70人。</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事故当班下井人员分布及伤亡情况：李生文矿入井人员10人，9人死亡；岭南矿入井9人，2人死亡；白塔二矿入井18人，16人死亡；李生文联办矿入井14人，3人死亡；西郝庄矿入井231人，其中：主井160人、副井71人，死亡40人。</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二、事故性质及原因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（一）事故发生的直接原因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李生文矿维修工在盲1井的井筒内违章使用电焊，焊割下的高温金属残块渣掉落在井壁充填护帮的荆笆上，造成长时间阴燃，最后引燃井筒周围的荆笆及木支护等可燃物，引发井下火灾。</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（二）事故扩大的直接原因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火灾事故发生时李生文矿仅有10名工人在井下作业，却造成了事故矿和事故波及矿共70位工人死亡，其原因主要是：</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1、非法越界开采</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经现场勘测，5个矿山都存在越界开采的现象。各矿的越界开采直接造成了矿矿相通和井下巷道错综复杂，风流紊乱，导致一个矿井发生事故、多个矿井严重受灾。事发矿井即李生文矿在此次事故中死亡9人，而因违法越界开采受波及的其他4个事故矿死亡61人。</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2、井下没有安全出口</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岭南矿和李生文联办矿均只有一个竖井可以通达地面。李生文矿和白塔二矿虽为主、副井开拓，但主井与副井仅在一平巷相连，对一平巷以下的作业区而言，仍然只有一个可以通达地面出口直接相连的通道。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西郝庄矿分为主、副井两个系统。主井系统有主斜井和红旗1号井两个直达地面的出口，但副井系统在-145米通风巷被一道密闭墙与主井系统隔开，只有副斜井一个直达地面的出口。</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上述矿井的竖井均没有按规定设置能够行人的设施，发生事故提升机不能使用后，井下遇险人员无法从仅有的一个通道逃生，进一步扩大了受灾范围。</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3、没有独立完善的矿井通风系统</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5个矿山都没有独立的通风系统，由于矿与矿之间井下由废弃老巷道及未经处理的采空区相连接，甚至各矿之间的平巷直接相连，加之所有的矿山均采用自然通风的方式，形成了整个矿区井下风路的大循环，导致相连各矿均受到事故矿井火灾烟气的污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矿山采用的自然通风方式完全失去了对风流的控制能力。事故发生后，受火灾及高温烟气的影响，风流发生变化，大量一氧化碳等有害气体通过未知的采空区、废弃老巷道向各矿蔓延。由于5个矿山都没有最基本的逃生通道，导致70名井下被困人员中毒身亡。</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4、事故初期自救措施不当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事故发生后，部分矿山在火灾初期的自救措施失当，客观上也造成了事故灾害的加剧。</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1）火灾初期，西郝庄矿发现主、斜井口冒烟后，在副斜井口安装了风机并投入运行（约中午12时）。该风机在副斜井口向下压风，从而使得+75米处的烟气被迫下行，烟气被压至-25米水平，增加了工人从斜井口逃生的困难。</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（一）事故发生的直接原因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李生文矿维修工在盲1井的井筒内违章使用电焊，焊割下的高温金属残渣掉落在井壁充填护帮的荆笆上，造成长时间阴燃，最后引燃井筒周围的荆笆及木支护等可燃物，引发井下火灾。</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（二）事故扩大的直接原因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火灾事故发生时李生文矿仅有10名工作在井下作业，却造成了事故矿和事矿波及矿共70位工人死亡，其原因主要是：</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1、非法越界开采</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经现场勘测，5个矿山都存在越界开采的现象。各矿的越界开采直接造成了矿矿相通和井下巷道错综复杂，风流紊乱，导致一个矿井发生事故、多个矿井严重受灾。事发矿井即李生文矿在此次事故中死亡9人，而因违法越界开采受波及的其他4个事故矿死亡61人。</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2、井下没有安全出口</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岭南矿和李生文联办矿均只有一个竖井可以通达地面。李生文矿和白塔二矿虽为主、副井开拓，但主井与副井仅在一平巷相连，对一平巷以下的作业区而言，仍然只有一个可以通达地面出口直接相连的通道。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西郝庄矿分为主、副井两个系统。主井系统有主斜井和红旗1号井两个直达地面的出口，但副井系统在-145米通风巷被一道密闭墙与主井系统隔开，只有副斜井一个直达地面的出口。</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上述矿井的竖井均没有按规定设置能够行人的设施，发生事故提升机不能使用后，井下遇险人员无法从仅有的一个通道逃生，进一步扩大了受灾范围。</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3、没有独立完善的矿井通风系统</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5个矿山都没有独立的通风系统，由于矿与矿之间井下由废弃老巷道及未经处理的采空区相连接，甚至各矿之间的平巷直接相连，加之所有的矿山均采用自然通风的方式，形成了整个矿区井下风路的大循环，导致相连各矿均受到事故矿井火灾烟气的污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矿山采用的自然通风方式完全失去了对风流的控制能力。事故发生后，受火灾及高温烟气的影响，风流发生变化，大量一氧化碳等有害气体通过未知的采空区、废弃老巷道向各矿蔓延。由于5个矿山都没有最基本的光生通道，导致70名井下被困人员中毒身亡。</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4、事故初期自救措施不当</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事故发生后，部分矿山在火灾初期的自救措施失当，客观上也造成了事故灾害的加剧。</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1）火灾初期，西郝庄矿发现主、副斜井口向下压风，从而使得+75米处的烟气被迫下行，烟气被压至米水平，增加了工作从斜井口向下压风，从而使得+75米处的烟气被迫下行，烟气被压至-25米水平，增加了工人从斜井口逃生的困难。</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（2）在李生文厂一平巷十字交叉口后，用棉被设置了密闭，由于此密闭阻碍了李生文矿盲1井中烟气向竖井口流动的通道，迫使该盲井的烟气下行，进而加大了向其余各矿扩散的烟气量，使灾量进一步加大。</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（3）在白塔矿一平巷交叉口前安装了风机，向内压风，此措施进一步增加了烟气向李生文矿和白塔二矿竖井排烟的困难，使大量的烟气下行、扩散，使各矿的影响进一步加剧。</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（三）导致事故发生的扩大的管理方面的原因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1、企业安全生产管理混乱，违法违规开采。5个矿山安全生产责任不明确，安全管理制度不健全，安全管理混乱。李生文矿、李生文联办矿、岭南矿都将矿井承包给他人生产经营，西郝庄矿将矿井违法租凭赁给邢台金鼎矿业有限公司，使第一责任人的安全生产责任形同虚设。矿主以包代管，只注重经济利益而忽视安全生产，加剧院了企业安全生产管理善的恶化。李生文矿未通过沙河市有关部门组织的2004年非煤矿山复工验收擅自恢复生产；无证电焊工违章操作引发火灾。5个矿山都长期违法越界开采，造成各矿井巷道贯通，风流紊乱，导致李生文矿起火后波及相邻矿井。5个矿山都没有按要求设置安全出口，没有制定事故应急救援预案，缺乏必要的应急救援措施。</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沙河市有关部门没有认真履行监管职责。沙河市冶金行业办公室，对冶金矿山安全生产日常监管不力，在非煤矿山安全生产专项整合工作中没有认真履行职责。2002年沙河市冶金行业办公室同意李生文矿、白塔二矿、岭南矿通过联合检查组整改验收；在2004年初沙河市非煤矿山复工验收中把关矿物不严，同意李生文矿、李生文联办矿、白塔二矿、岭南矿通过冶金办初验；发现了李生文矿未通过2004年复工验收却擅自恢复生产的问题，但没有制止；对事故矿的井下测绘图反映出的违法越界开采问题，既没有采取有效措施，也没有按规定向有关部门反映。</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沙河市国土资源局，没有认真履行对矿产资源开发的监管职责，对辖区内非煤矿山开采秩序混乱问题失察，对事故矿违法租赁和长期违法越界开采问题查处不力，未有效制止和纠正事故矿长期存在的违法越界开采问题。在非煤矿山安全生产专项整治工作中没有认真履行职责。</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沙河市安全监管局，对沙河市有关部门非煤矿山安全生产监管工作督促指导不力，对非煤矿山安全生产专项整治工作组织协调不力。在期牵头组织的2004年非煤矿山企业复工验收中把关不严，同意李生文职办矿、白塔二矿、岭南矿通过复工验收；发现了李生文矿未通过2004年复工验收却擅自恢复生产的问题，但没有制止。</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沙河市人事劳动和社会保障局，对事故的劳动用工监督检查不力，对事故矿违法雇用女工、童工问题失察。在事故中李生文联办矿、岭南矿、西郝庄矿各有一名女工在井下死亡，西郝庄矿有1名童工在井下受伤。</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3、白塔镇、沙河市两级人民政府对非煤矿山安全生产工作重视不够，对有关部门的非煤矿山安全生产监管工作领导不力、辖区内非煤矿山开采秩序混乱问题失察，对非煤矿山安全生产专项整治工作组织领导不力。白塔镇、沙河市两级党委对当地政府的安全生产监管工作和国家部署的非煤矿山安全生产专项整治工作督促不到位，对干部中存在的工作作风不深入等问题教育、监督、管理不到位。</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4、邢台市国土资源局、安全监管局对沙河市国土资源局、安全监管局履行职责情况检查指导不力；邢台市国土资源局对沙河市非煤矿山开采秩序混乱问题失察，邢台市安全监管局对沙河市非煤矿山安全生产专项整治工作的落实情况督促检查不力。邢台市政府对非煤矿山安全生产监管和矿产资源开发利用监管工作领导不到位，对辖区内非煤矿山开采秩序混乱问题失察，对国家部署的非煤矿山安全生产专项整治工作落实不力。</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（四）事故性质</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调查认定，河北邢台“11.20”铁矿特别重大火灾事故是一起责任事故。</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五、防范措施和建议</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一）河北省人民政府及有关部门要认真吸取这次事故教训，按照“三个代表”重要思想的要法语，牢固树立“安全第一”的思想，加强对安全生产工作的领导。要深入开展非煤矿山安全整治工作，对全省特别是像沙河市这样矿业秩序混乱的地区进行全面清理整顿，完善矿井安全生产条年，提高矿井技术装备水平，认真落实灾害防治措施，坚决关闭。取缔不具备基本安全生产条件和违法生产的矿山，遏制重、特大事故的发生。</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二）地方各级人民政府应加强对非煤矿山安全生产的监督管理。要认真贯彻执行党和国家有关安全生产的法律法规和各项政策，完善安全生产责任体系，健全安全生产监管机构，充实监管力量，明确职责，加强监督。抓好对干部的教育、监督、管理工作，解决工作中存在的作风不深入、责任不落实、管理不到位问题。加强政府及有关部门在安全生产管理方面的执政能力建设，切实做好安全生产工作。</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三）要加强矿产资源开发秩序的管理，提高矿产资源开发利用监管水平。加大对违法越界开采问题的查处力度，把违法越界开采查处情况与采矿许可证延续登记工作相衔接。按照《国务院办公厅转发国土资源部关于进一步治理整顿矿产资源管理体秩序的意见的通知》（国办发[2001]85号）要求，严格规范矿业权审批职责，不能违法重叠和义叉设置控矿权、采矿权。坚决防止生产经营过程中以包代管、包而不管，违法租赁或转让采矿权等问题的发生。</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四）在安全生产许可制度的实施过程中，有关部门要严格审核企业安全生产条件，特别是井下开采矿山的安全出口和井下通风系统，完善非煤矿山企业安全生产许可证审核颁发工作程序，严把高危生产企业的安全准入关。</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五）切实加强劳动用工的管理工作，严格瓜行国家有关劳动用工的管理规定，杜绝童工和井下女工作业现象。要督促企业加强从业人员特别是特种作业人员的培训工作，按照国家有关规定做好考核和持证上岗的监管工作。</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（六）要落实建设项目安全设施“三同时”监管工作。按照有关规定，矿山建设项目应依法履行安全设施设计审查和竣工验收工作，要从项目建设的源头上加强监管，确保企业本质安全。</w:t>
      </w:r>
    </w:p>
    <w:p w14:paraId="1F8EAC20">
      <w:pPr>
        <w:pStyle w:val="2"/>
        <w:keepNext w:val="0"/>
        <w:keepLines w:val="0"/>
        <w:widowControl/>
        <w:suppressLineNumbers w:val="0"/>
        <w:shd w:val="clear" w:fill="FFFFFF"/>
        <w:spacing w:before="0" w:beforeAutospacing="0" w:after="435" w:afterAutospacing="0" w:line="420" w:lineRule="atLeast"/>
        <w:ind w:left="0" w:right="0" w:firstLine="0"/>
        <w:jc w:val="righ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shd w:val="clear" w:fill="FFFFFF"/>
        </w:rPr>
        <w:t>河北邢台“11.20”铁矿特别重大火灾事故调查组</w:t>
      </w:r>
      <w:r>
        <w:rPr>
          <w:rFonts w:hint="default" w:ascii="Helvetica" w:hAnsi="Helvetica" w:eastAsia="Helvetica" w:cs="Helvetica"/>
          <w:i w:val="0"/>
          <w:iCs w:val="0"/>
          <w:caps w:val="0"/>
          <w:color w:val="000000"/>
          <w:spacing w:val="0"/>
          <w:sz w:val="24"/>
          <w:szCs w:val="24"/>
          <w:shd w:val="clear" w:fill="FFFFFF"/>
        </w:rPr>
        <w:br w:type="textWrapping"/>
      </w:r>
      <w:r>
        <w:rPr>
          <w:rFonts w:hint="default" w:ascii="Helvetica" w:hAnsi="Helvetica" w:eastAsia="Helvetica" w:cs="Helvetica"/>
          <w:i w:val="0"/>
          <w:iCs w:val="0"/>
          <w:caps w:val="0"/>
          <w:color w:val="000000"/>
          <w:spacing w:val="0"/>
          <w:sz w:val="24"/>
          <w:szCs w:val="24"/>
          <w:shd w:val="clear" w:fill="FFFFFF"/>
        </w:rPr>
        <w:t>2005年7月</w:t>
      </w:r>
    </w:p>
    <w:p w14:paraId="5F7F9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454B63DF"/>
    <w:rsid w:val="110F618C"/>
    <w:rsid w:val="454B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2024-07-11T01:10:00Z</dcterms:created>
  <dc:creator>玲俐</dc:creator>
  <cp:lastModifiedBy>玲俐</cp:lastModifiedBy>
  <dcterms:modified xsi:type="dcterms:W3CDTF">2024-07-11T01:11:43Z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D3771A9C96484C399A17FE65164A4460_13</vt:lpwstr>
  </property>
</Properties>
</file>