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C60002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0002"/>
          <w:spacing w:val="0"/>
          <w:sz w:val="42"/>
          <w:szCs w:val="42"/>
          <w:bdr w:val="none" w:color="auto" w:sz="0" w:space="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0002"/>
          <w:spacing w:val="0"/>
          <w:sz w:val="42"/>
          <w:szCs w:val="42"/>
          <w:bdr w:val="none" w:color="auto" w:sz="0" w:space="0"/>
        </w:rPr>
        <w:t>关于发布《生态环境领域行政许可事项实施规范》的公告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为落实《国务院办公厅关于全面实行行政许可事项清单管理的通知》（国办发〔2022〕2号）要求，规范和加强生态环境领域行政许可事项清单管理，我部制定了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instrText xml:space="preserve"> HYPERLINK "https://zwfw.mee.gov.cn/ecdomain/" \l "/commonPage_17"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t>《</w:t>
      </w:r>
      <w:bookmarkStart w:id="0" w:name="_GoBack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t>生态环境领域行政许可事项实施规范</w:t>
      </w:r>
      <w:bookmarkEnd w:id="0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t>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。现予以发布，自发布之日起施行。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具体内容可在生态环境部网站（www.mee.gov.cn）查询。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righ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生态环境部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righ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2023年2月3日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生态环境部办公厅2023年2月6日印发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ZTU4ZjU3MDJmYTE0YTBjMGQ2ZjcxMzI2OGZkNzIifQ=="/>
  </w:docVars>
  <w:rsids>
    <w:rsidRoot w:val="515E207C"/>
    <w:rsid w:val="515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2023-02-24T06:02:00Z</dcterms:created>
  <dc:creator>玲俐</dc:creator>
  <cp:lastModifiedBy>玲俐</cp:lastModifiedBy>
  <dcterms:modified xsi:type="dcterms:W3CDTF">2023-02-24T06:03:14Z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13ED25191D5241EC866806CAF08D323A</vt:lpwstr>
  </property>
</Properties>
</file>