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shd w:val="clear" w:fill="FFFFFF"/>
        </w:rPr>
        <w:t>污染地块土壤环境管理办法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bdr w:val="none" w:color="auto" w:sz="0" w:space="0"/>
          <w:shd w:val="clear" w:fill="FFFFFF"/>
        </w:rPr>
      </w:pPr>
      <w:r>
        <w:rPr>
          <w:rFonts w:hint="eastAsia" w:ascii="微软雅黑" w:hAnsi="微软雅黑" w:eastAsia="微软雅黑" w:cs="微软雅黑"/>
          <w:i w:val="0"/>
          <w:iCs w:val="0"/>
          <w:caps w:val="0"/>
          <w:color w:val="000000"/>
          <w:spacing w:val="0"/>
          <w:sz w:val="27"/>
          <w:szCs w:val="27"/>
          <w:shd w:val="clear" w:fill="FFFFFF"/>
        </w:rPr>
        <w:t>（试 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《污染地块土壤环境管理办法（试行）》已于2016年12月27日由环境保护部部务会议审议通过，现予公布，自2017年7月1日起施行。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环境保护部部长 陈吉宁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宋体" w:hAnsi="宋体" w:eastAsia="宋体" w:cs="宋体"/>
          <w:i w:val="0"/>
          <w:iCs w:val="0"/>
          <w:caps w:val="0"/>
          <w:color w:val="000000"/>
          <w:spacing w:val="0"/>
          <w:sz w:val="27"/>
          <w:szCs w:val="27"/>
        </w:rPr>
      </w:pPr>
      <w:bookmarkStart w:id="0" w:name="_GoBack"/>
      <w:bookmarkEnd w:id="0"/>
      <w:r>
        <w:rPr>
          <w:rFonts w:hint="eastAsia" w:ascii="宋体" w:hAnsi="宋体" w:eastAsia="宋体" w:cs="宋体"/>
          <w:i w:val="0"/>
          <w:iCs w:val="0"/>
          <w:caps w:val="0"/>
          <w:color w:val="000000"/>
          <w:spacing w:val="0"/>
          <w:sz w:val="27"/>
          <w:szCs w:val="27"/>
          <w:bdr w:val="none" w:color="auto" w:sz="0" w:space="0"/>
          <w:shd w:val="clear" w:fill="FFFFFF"/>
        </w:rPr>
        <w:t>2016年12月31日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第一章</w:t>
      </w:r>
      <w:r>
        <w:rPr>
          <w:rFonts w:hint="eastAsia" w:ascii="宋体" w:hAnsi="宋体" w:eastAsia="宋体" w:cs="宋体"/>
          <w:i w:val="0"/>
          <w:iCs w:val="0"/>
          <w:caps w:val="0"/>
          <w:color w:val="000000"/>
          <w:spacing w:val="0"/>
          <w:sz w:val="27"/>
          <w:szCs w:val="27"/>
          <w:bdr w:val="none" w:color="auto" w:sz="0" w:space="0"/>
          <w:shd w:val="clear" w:fill="FFFFFF"/>
        </w:rPr>
        <w:t>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第二章</w:t>
      </w:r>
      <w:r>
        <w:rPr>
          <w:rFonts w:hint="eastAsia" w:ascii="宋体" w:hAnsi="宋体" w:eastAsia="宋体" w:cs="宋体"/>
          <w:i w:val="0"/>
          <w:iCs w:val="0"/>
          <w:caps w:val="0"/>
          <w:color w:val="000000"/>
          <w:spacing w:val="0"/>
          <w:sz w:val="27"/>
          <w:szCs w:val="27"/>
          <w:bdr w:val="none" w:color="auto" w:sz="0" w:space="0"/>
          <w:shd w:val="clear" w:fill="FFFFFF"/>
        </w:rPr>
        <w:t> 各方责任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第三章</w:t>
      </w:r>
      <w:r>
        <w:rPr>
          <w:rFonts w:hint="eastAsia" w:ascii="宋体" w:hAnsi="宋体" w:eastAsia="宋体" w:cs="宋体"/>
          <w:i w:val="0"/>
          <w:iCs w:val="0"/>
          <w:caps w:val="0"/>
          <w:color w:val="000000"/>
          <w:spacing w:val="0"/>
          <w:sz w:val="27"/>
          <w:szCs w:val="27"/>
          <w:bdr w:val="none" w:color="auto" w:sz="0" w:space="0"/>
          <w:shd w:val="clear" w:fill="FFFFFF"/>
        </w:rPr>
        <w:t> 环境调查与风险评估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第四章</w:t>
      </w:r>
      <w:r>
        <w:rPr>
          <w:rFonts w:hint="eastAsia" w:ascii="宋体" w:hAnsi="宋体" w:eastAsia="宋体" w:cs="宋体"/>
          <w:i w:val="0"/>
          <w:iCs w:val="0"/>
          <w:caps w:val="0"/>
          <w:color w:val="000000"/>
          <w:spacing w:val="0"/>
          <w:sz w:val="27"/>
          <w:szCs w:val="27"/>
          <w:bdr w:val="none" w:color="auto" w:sz="0" w:space="0"/>
          <w:shd w:val="clear" w:fill="FFFFFF"/>
        </w:rPr>
        <w:t> 风险管控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第五章</w:t>
      </w:r>
      <w:r>
        <w:rPr>
          <w:rFonts w:hint="eastAsia" w:ascii="宋体" w:hAnsi="宋体" w:eastAsia="宋体" w:cs="宋体"/>
          <w:i w:val="0"/>
          <w:iCs w:val="0"/>
          <w:caps w:val="0"/>
          <w:color w:val="000000"/>
          <w:spacing w:val="0"/>
          <w:sz w:val="27"/>
          <w:szCs w:val="27"/>
          <w:bdr w:val="none" w:color="auto" w:sz="0" w:space="0"/>
          <w:shd w:val="clear" w:fill="FFFFFF"/>
        </w:rPr>
        <w:t> 治理与修复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第六章</w:t>
      </w:r>
      <w:r>
        <w:rPr>
          <w:rFonts w:hint="eastAsia" w:ascii="宋体" w:hAnsi="宋体" w:eastAsia="宋体" w:cs="宋体"/>
          <w:i w:val="0"/>
          <w:iCs w:val="0"/>
          <w:caps w:val="0"/>
          <w:color w:val="000000"/>
          <w:spacing w:val="0"/>
          <w:sz w:val="27"/>
          <w:szCs w:val="27"/>
          <w:bdr w:val="none" w:color="auto" w:sz="0" w:space="0"/>
          <w:shd w:val="clear" w:fill="FFFFFF"/>
        </w:rPr>
        <w:t>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第七章</w:t>
      </w:r>
      <w:r>
        <w:rPr>
          <w:rFonts w:hint="eastAsia" w:ascii="宋体" w:hAnsi="宋体" w:eastAsia="宋体" w:cs="宋体"/>
          <w:i w:val="0"/>
          <w:iCs w:val="0"/>
          <w:caps w:val="0"/>
          <w:color w:val="000000"/>
          <w:spacing w:val="0"/>
          <w:sz w:val="27"/>
          <w:szCs w:val="27"/>
          <w:bdr w:val="none" w:color="auto" w:sz="0" w:space="0"/>
          <w:shd w:val="clear" w:fill="FFFFFF"/>
        </w:rPr>
        <w:t>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第一条</w:t>
      </w:r>
      <w:r>
        <w:rPr>
          <w:rFonts w:hint="eastAsia" w:ascii="宋体" w:hAnsi="宋体" w:eastAsia="宋体" w:cs="宋体"/>
          <w:i w:val="0"/>
          <w:iCs w:val="0"/>
          <w:caps w:val="0"/>
          <w:color w:val="000000"/>
          <w:spacing w:val="0"/>
          <w:sz w:val="27"/>
          <w:szCs w:val="27"/>
          <w:bdr w:val="none" w:color="auto" w:sz="0" w:space="0"/>
          <w:shd w:val="clear" w:fill="FFFFFF"/>
        </w:rPr>
        <w:t> 为了加强污染地块环境保护监督管理，防控污染地块环境风险，根据《中华人民共和国环境保护法》等法律法规和国务院发布的《土壤污染防治行动计划》，制定本办法。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第二条</w:t>
      </w:r>
      <w:r>
        <w:rPr>
          <w:rFonts w:hint="eastAsia" w:ascii="宋体" w:hAnsi="宋体" w:eastAsia="宋体" w:cs="宋体"/>
          <w:i w:val="0"/>
          <w:iCs w:val="0"/>
          <w:caps w:val="0"/>
          <w:color w:val="000000"/>
          <w:spacing w:val="0"/>
          <w:sz w:val="27"/>
          <w:szCs w:val="27"/>
          <w:bdr w:val="none" w:color="auto" w:sz="0" w:space="0"/>
          <w:shd w:val="clear" w:fill="FFFFFF"/>
        </w:rPr>
        <w:t> 本办法所称疑似污染地块，是指从事过有色金属冶炼、石油加工、化工、焦化、电镀、制革等行业生产经营活动，以及从事过危险废物贮存、利用、处置活动的用地。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按照国家技术规范确认超过有关土壤环境标准的疑似污染地块，称为污染地块。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本办法所称疑似污染地块和污染地块相关活动，是指对疑似污染地块开展的土壤环境初步调查活动，以及对污染地块开展的土壤环境详细调查、风险评估、风险管控、治理与修复及其效果评估等活动。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第三条</w:t>
      </w:r>
      <w:r>
        <w:rPr>
          <w:rFonts w:hint="eastAsia" w:ascii="宋体" w:hAnsi="宋体" w:eastAsia="宋体" w:cs="宋体"/>
          <w:i w:val="0"/>
          <w:iCs w:val="0"/>
          <w:caps w:val="0"/>
          <w:color w:val="000000"/>
          <w:spacing w:val="0"/>
          <w:sz w:val="27"/>
          <w:szCs w:val="27"/>
          <w:bdr w:val="none" w:color="auto" w:sz="0" w:space="0"/>
          <w:shd w:val="clear" w:fill="FFFFFF"/>
        </w:rPr>
        <w:t> 拟收回土地使用权的，已收回土地使用权的，以及用途拟变更为居住用地和商业、学校、医疗、养老机构等公共设施用地的疑似污染地块和污染地块相关活动及其环境保护监督管理，适用本办法。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不具备本条第一款情形的疑似污染地块和污染地块土壤环境管理办法另行制定。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放射性污染地块环境保护监督管理，不适用本办法。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环境保护部对全国土壤环境保护工作实施统一监督管理。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地方各级环境保护主管部门负责本行政区域内的疑似污染地块和污染地块相关活动的监督管理。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按照国家有关规定，县级环境保护主管部门被调整为设区的市级环境保护主管部门派出分局的，由设区的市级环境保护主管部门组织所属派出分局开展疑似污染地块和污染地块相关活动的监督管理。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环境保护部制定疑似污染地块和污染地块相关活动方面的环境标准和技术规范。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第六条</w:t>
      </w:r>
      <w:r>
        <w:rPr>
          <w:rFonts w:hint="eastAsia" w:ascii="宋体" w:hAnsi="宋体" w:eastAsia="宋体" w:cs="宋体"/>
          <w:i w:val="0"/>
          <w:iCs w:val="0"/>
          <w:caps w:val="0"/>
          <w:color w:val="000000"/>
          <w:spacing w:val="0"/>
          <w:sz w:val="27"/>
          <w:szCs w:val="27"/>
          <w:bdr w:val="none" w:color="auto" w:sz="0" w:space="0"/>
          <w:shd w:val="clear" w:fill="FFFFFF"/>
        </w:rPr>
        <w:t> 环境保护部组织建立全国污染地块土壤环境管理信息系统（以下简称污染地块信息系统）。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县级以上地方环境保护主管部门按照环境保护部的规定，在本行政区域内组织建设和应用污染地块信息系统。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疑似污染地块和污染地块的土地使用权人应当按照环境保护部的规定，通过污染地块信息系统，在线填报并提交疑似污染地块和污染地块相关活动信息。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县级以上环境保护主管部门应当通过污染地块信息系统，与同级城乡规划、国土资源等部门实现信息共享。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第七条</w:t>
      </w:r>
      <w:r>
        <w:rPr>
          <w:rFonts w:hint="eastAsia" w:ascii="宋体" w:hAnsi="宋体" w:eastAsia="宋体" w:cs="宋体"/>
          <w:i w:val="0"/>
          <w:iCs w:val="0"/>
          <w:caps w:val="0"/>
          <w:color w:val="000000"/>
          <w:spacing w:val="0"/>
          <w:sz w:val="27"/>
          <w:szCs w:val="27"/>
          <w:bdr w:val="none" w:color="auto" w:sz="0" w:space="0"/>
          <w:shd w:val="clear" w:fill="FFFFFF"/>
        </w:rPr>
        <w:t> 任何单位或者个人有权向环境保护主管部门举报未按照本办法规定开展疑似污染地块和污染地块相关活动的行为。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第八条</w:t>
      </w:r>
      <w:r>
        <w:rPr>
          <w:rFonts w:hint="eastAsia" w:ascii="宋体" w:hAnsi="宋体" w:eastAsia="宋体" w:cs="宋体"/>
          <w:i w:val="0"/>
          <w:iCs w:val="0"/>
          <w:caps w:val="0"/>
          <w:color w:val="000000"/>
          <w:spacing w:val="0"/>
          <w:sz w:val="27"/>
          <w:szCs w:val="27"/>
          <w:bdr w:val="none" w:color="auto" w:sz="0" w:space="0"/>
          <w:shd w:val="clear" w:fill="FFFFFF"/>
        </w:rPr>
        <w:t> 环境保护主管部门鼓励和支持社会组织，对造成土壤污染、损害社会公共利益的行为，依法提起环境公益诉讼。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第二章 各方责任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第九条</w:t>
      </w:r>
      <w:r>
        <w:rPr>
          <w:rFonts w:hint="eastAsia" w:ascii="宋体" w:hAnsi="宋体" w:eastAsia="宋体" w:cs="宋体"/>
          <w:i w:val="0"/>
          <w:iCs w:val="0"/>
          <w:caps w:val="0"/>
          <w:color w:val="000000"/>
          <w:spacing w:val="0"/>
          <w:sz w:val="27"/>
          <w:szCs w:val="27"/>
          <w:bdr w:val="none" w:color="auto" w:sz="0" w:space="0"/>
          <w:shd w:val="clear" w:fill="FFFFFF"/>
        </w:rPr>
        <w:t> 土地使用权人应当按照本办法的规定，负责开展疑似污染地块和污染地块相关活动，并对上述活动的结果负责。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第十条</w:t>
      </w:r>
      <w:r>
        <w:rPr>
          <w:rFonts w:hint="eastAsia" w:ascii="宋体" w:hAnsi="宋体" w:eastAsia="宋体" w:cs="宋体"/>
          <w:i w:val="0"/>
          <w:iCs w:val="0"/>
          <w:caps w:val="0"/>
          <w:color w:val="000000"/>
          <w:spacing w:val="0"/>
          <w:sz w:val="27"/>
          <w:szCs w:val="27"/>
          <w:bdr w:val="none" w:color="auto" w:sz="0" w:space="0"/>
          <w:shd w:val="clear" w:fill="FFFFFF"/>
        </w:rPr>
        <w:t> 按照“谁污染，谁治理”原则，造成土壤污染的单位或者个人应当承担治理与修复的主体责任。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责任主体发生变更的，由变更后继承其债权、债务的单位或者个人承担相关责任。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责任主体灭失或者责任主体不明确的，由所在地县级人民政府依法承担相关责任。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土地使用权依法转让的，由土地使用权受让人或者双方约定的责任人承担相关责任。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土地使用权终止的，由原土地使用权人对其使用该地块期间所造成的土壤污染承担相关责任。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土壤污染治理与修复实行终身责任制。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第十一条</w:t>
      </w:r>
      <w:r>
        <w:rPr>
          <w:rFonts w:hint="eastAsia" w:ascii="宋体" w:hAnsi="宋体" w:eastAsia="宋体" w:cs="宋体"/>
          <w:i w:val="0"/>
          <w:iCs w:val="0"/>
          <w:caps w:val="0"/>
          <w:color w:val="000000"/>
          <w:spacing w:val="0"/>
          <w:sz w:val="27"/>
          <w:szCs w:val="27"/>
          <w:bdr w:val="none" w:color="auto" w:sz="0" w:space="0"/>
          <w:shd w:val="clear" w:fill="FFFFFF"/>
        </w:rPr>
        <w:t> 受委托从事疑似污染地块和污染地块相关活动的专业机构，或者受委托从事治理与修复效果评估的第三方机构，应当遵守有关环境标准和技术规范，并对相关活动的调查报告、评估报告的真实性、准确性、完整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受委托从事风险管控、治理与修复的专业机构，应当遵守国家有关环境标准和技术规范，按照委托合同的约定，对风险管控、治理与修复的效果承担相应责任。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受委托从事风险管控、治理与修复的专业机构，在风险管控、治理与修复等活动中弄虚作假，造成环境污染和生态破坏，除依照有关法律法规接受处罚外，还应当依法与造成环境污染和生态破坏的其他责任者承担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第三章 环境调查与风险评估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第十二条</w:t>
      </w:r>
      <w:r>
        <w:rPr>
          <w:rFonts w:hint="eastAsia" w:ascii="宋体" w:hAnsi="宋体" w:eastAsia="宋体" w:cs="宋体"/>
          <w:i w:val="0"/>
          <w:iCs w:val="0"/>
          <w:caps w:val="0"/>
          <w:color w:val="000000"/>
          <w:spacing w:val="0"/>
          <w:sz w:val="27"/>
          <w:szCs w:val="27"/>
          <w:bdr w:val="none" w:color="auto" w:sz="0" w:space="0"/>
          <w:shd w:val="clear" w:fill="FFFFFF"/>
        </w:rPr>
        <w:t> 县级环境保护主管部门应当根据国家有关保障工业企业场地再开发利用环境安全的规定，会同工业和信息化、城乡规划、国土资源等部门，建立本行政区域疑似污染地块名单，并及时上传污染地块信息系统。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疑似污染地块名单实行动态更新。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第十三条</w:t>
      </w:r>
      <w:r>
        <w:rPr>
          <w:rFonts w:hint="eastAsia" w:ascii="宋体" w:hAnsi="宋体" w:eastAsia="宋体" w:cs="宋体"/>
          <w:i w:val="0"/>
          <w:iCs w:val="0"/>
          <w:caps w:val="0"/>
          <w:color w:val="000000"/>
          <w:spacing w:val="0"/>
          <w:sz w:val="27"/>
          <w:szCs w:val="27"/>
          <w:bdr w:val="none" w:color="auto" w:sz="0" w:space="0"/>
          <w:shd w:val="clear" w:fill="FFFFFF"/>
        </w:rPr>
        <w:t> 对列入疑似污染地块名单的地块，所在地县级环境保护主管部门应当书面通知土地使用权人。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土地使用权人应当自接到书面通知之日起六个月内完成土壤环境初步调查，编制调查报告，及时上传污染地块信息系统，并将调查报告主要内容通过其网站等便于公众知晓的方式向社会公开。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土壤环境初步调查应当按照国家有关环境标准和技术规范开展，调查报告应当包括地块基本信息、疑似污染地块是否为污染地块的明确结论等主要内容，并附具采样信息和检测报告。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第十四条</w:t>
      </w:r>
      <w:r>
        <w:rPr>
          <w:rFonts w:hint="eastAsia" w:ascii="宋体" w:hAnsi="宋体" w:eastAsia="宋体" w:cs="宋体"/>
          <w:i w:val="0"/>
          <w:iCs w:val="0"/>
          <w:caps w:val="0"/>
          <w:color w:val="000000"/>
          <w:spacing w:val="0"/>
          <w:sz w:val="27"/>
          <w:szCs w:val="27"/>
          <w:bdr w:val="none" w:color="auto" w:sz="0" w:space="0"/>
          <w:shd w:val="clear" w:fill="FFFFFF"/>
        </w:rPr>
        <w:t> 设区的市级环境保护主管部门根据土地使用权人提交的土壤环境初步调查报告建立污染地块名录，及时上传污染地块信息系统，同时向社会公开，并通报各污染地块所在地县级人民政府。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对列入名录的污染地块，设区的市级环境保护主管部门应当按照国家有关环境标准和技术规范，确定该污染地块的风险等级。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污染地块名录实行动态更新。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第十五条</w:t>
      </w:r>
      <w:r>
        <w:rPr>
          <w:rFonts w:hint="eastAsia" w:ascii="宋体" w:hAnsi="宋体" w:eastAsia="宋体" w:cs="宋体"/>
          <w:i w:val="0"/>
          <w:iCs w:val="0"/>
          <w:caps w:val="0"/>
          <w:color w:val="000000"/>
          <w:spacing w:val="0"/>
          <w:sz w:val="27"/>
          <w:szCs w:val="27"/>
          <w:bdr w:val="none" w:color="auto" w:sz="0" w:space="0"/>
          <w:shd w:val="clear" w:fill="FFFFFF"/>
        </w:rPr>
        <w:t> 县级以上地方环境保护主管部门应当对本行政区域具有高风险的污染地块，优先开展环境保护监督管理。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对列入污染地块名录的地块，设区的市级环境保护主管部门应当书面通知土地使用权人。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地使用权人应当在接到书面通知后，按照国家有关环境标准和技术规范，开展土壤环境详细调查，编制调查报告，及时上传污染地块信息系统，并将调查报告主要内容通过其网站等便于公众知晓的方式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土壤环境详细调查报告应当包括地块基本信息,土壤污染物的分布状况及其范围,以及对土壤、地表水、地下水、空气污染的影响情况等主要内容，并附具采样信息和检测报告。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第十七条</w:t>
      </w:r>
      <w:r>
        <w:rPr>
          <w:rFonts w:hint="eastAsia" w:ascii="宋体" w:hAnsi="宋体" w:eastAsia="宋体" w:cs="宋体"/>
          <w:i w:val="0"/>
          <w:iCs w:val="0"/>
          <w:caps w:val="0"/>
          <w:color w:val="000000"/>
          <w:spacing w:val="0"/>
          <w:sz w:val="27"/>
          <w:szCs w:val="27"/>
          <w:bdr w:val="none" w:color="auto" w:sz="0" w:space="0"/>
          <w:shd w:val="clear" w:fill="FFFFFF"/>
        </w:rPr>
        <w:t> 土地使用权人应当按照国家有关环境标准和技术规范，在污染地块土壤环境详细调查的基础上开展风险评估，编制风险评估报告，及时上传污染地块信息系统，并将评估报告主要内容通过其网站等便于公众知晓的方式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风险评估报告应当包括地块基本信息、应当关注的污染物、主要暴露途径、风险水平、风险管控以及治理与修复建议等主要内容。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第四章 风险管控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　　第十八条</w:t>
      </w:r>
      <w:r>
        <w:rPr>
          <w:rFonts w:hint="eastAsia" w:ascii="宋体" w:hAnsi="宋体" w:eastAsia="宋体" w:cs="宋体"/>
          <w:i w:val="0"/>
          <w:iCs w:val="0"/>
          <w:caps w:val="0"/>
          <w:color w:val="000000"/>
          <w:spacing w:val="0"/>
          <w:sz w:val="27"/>
          <w:szCs w:val="27"/>
          <w:bdr w:val="none" w:color="auto" w:sz="0" w:space="0"/>
          <w:shd w:val="clear" w:fill="FFFFFF"/>
        </w:rPr>
        <w:t> 污染地块土地使用权人应当根据风险评估结果，并结合污染地块相关开发利用计划，有针对性地实施风险管控。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对暂不开发利用的污染地块，实施以防止污染扩散为目的的风险管控。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对拟开发利用为居住用地和商业、学校、医疗、养老机构等公共设施用地的污染地块，实施以安全利用为目的的风险管控。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第十九条</w:t>
      </w:r>
      <w:r>
        <w:rPr>
          <w:rFonts w:hint="eastAsia" w:ascii="宋体" w:hAnsi="宋体" w:eastAsia="宋体" w:cs="宋体"/>
          <w:i w:val="0"/>
          <w:iCs w:val="0"/>
          <w:caps w:val="0"/>
          <w:color w:val="000000"/>
          <w:spacing w:val="0"/>
          <w:sz w:val="27"/>
          <w:szCs w:val="27"/>
          <w:bdr w:val="none" w:color="auto" w:sz="0" w:space="0"/>
          <w:shd w:val="clear" w:fill="FFFFFF"/>
        </w:rPr>
        <w:t> 污染地块土地使用权人应当按照国家有关环境标准和技术规范，编制风险管控方案，及时上传污染地块信息系统，同时抄送所在地县级人民政府，并将方案主要内容通过其网站等便于公众知晓的方式向社会公开。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风险管控方案应当包括管控区域、目标、主要措施、环境监测计划以及应急措施等内容。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第二十条</w:t>
      </w:r>
      <w:r>
        <w:rPr>
          <w:rFonts w:hint="eastAsia" w:ascii="宋体" w:hAnsi="宋体" w:eastAsia="宋体" w:cs="宋体"/>
          <w:i w:val="0"/>
          <w:iCs w:val="0"/>
          <w:caps w:val="0"/>
          <w:color w:val="000000"/>
          <w:spacing w:val="0"/>
          <w:sz w:val="27"/>
          <w:szCs w:val="27"/>
          <w:bdr w:val="none" w:color="auto" w:sz="0" w:space="0"/>
          <w:shd w:val="clear" w:fill="FFFFFF"/>
        </w:rPr>
        <w:t> 土地使用权人应当按照风险管控方案要求，采取以下主要措施：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（一）及时移除或者清理污染源；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（二）采取污染隔离、阻断等措施，防止污染扩散；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（三）开展土壤、地表水、地下水、空气环境监测；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（四）发现污染扩散的，及时采取有效补救措施。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第二十一条</w:t>
      </w:r>
      <w:r>
        <w:rPr>
          <w:rFonts w:hint="eastAsia" w:ascii="宋体" w:hAnsi="宋体" w:eastAsia="宋体" w:cs="宋体"/>
          <w:i w:val="0"/>
          <w:iCs w:val="0"/>
          <w:caps w:val="0"/>
          <w:color w:val="000000"/>
          <w:spacing w:val="0"/>
          <w:sz w:val="27"/>
          <w:szCs w:val="27"/>
          <w:bdr w:val="none" w:color="auto" w:sz="0" w:space="0"/>
          <w:shd w:val="clear" w:fill="FFFFFF"/>
        </w:rPr>
        <w:t> 因采取风险管控措施不当等原因，造成污染地块周边的土壤、地表水、地下水或者空气污染等突发环境事件的，土地使用权人应当及时采取环境应急措施，并向所在地县级以上环境保护主管部门和其他有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第二十二条</w:t>
      </w:r>
      <w:r>
        <w:rPr>
          <w:rFonts w:hint="eastAsia" w:ascii="宋体" w:hAnsi="宋体" w:eastAsia="宋体" w:cs="宋体"/>
          <w:i w:val="0"/>
          <w:iCs w:val="0"/>
          <w:caps w:val="0"/>
          <w:color w:val="000000"/>
          <w:spacing w:val="0"/>
          <w:sz w:val="27"/>
          <w:szCs w:val="27"/>
          <w:bdr w:val="none" w:color="auto" w:sz="0" w:space="0"/>
          <w:shd w:val="clear" w:fill="FFFFFF"/>
        </w:rPr>
        <w:t> 对暂不开发利用的污染地块，由所在地县级环境保护主管部门配合有关部门提出划定管控区域的建议，报同级人民政府批准后设立标识、发布公告，并组织开展土壤、地表水、地下水、空气环境监测。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第五章 治理与修复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　　第二十三条</w:t>
      </w:r>
      <w:r>
        <w:rPr>
          <w:rFonts w:hint="eastAsia" w:ascii="宋体" w:hAnsi="宋体" w:eastAsia="宋体" w:cs="宋体"/>
          <w:i w:val="0"/>
          <w:iCs w:val="0"/>
          <w:caps w:val="0"/>
          <w:color w:val="000000"/>
          <w:spacing w:val="0"/>
          <w:sz w:val="27"/>
          <w:szCs w:val="27"/>
          <w:bdr w:val="none" w:color="auto" w:sz="0" w:space="0"/>
          <w:shd w:val="clear" w:fill="FFFFFF"/>
        </w:rPr>
        <w:t> 对拟开发利用为居住用地和商业、学校、医疗、养老机构等公共设施用地的污染地块，经风险评估确认需要治理与修复的，土地使用权人应当开展治理与修复。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第二十四条</w:t>
      </w:r>
      <w:r>
        <w:rPr>
          <w:rFonts w:hint="eastAsia" w:ascii="宋体" w:hAnsi="宋体" w:eastAsia="宋体" w:cs="宋体"/>
          <w:i w:val="0"/>
          <w:iCs w:val="0"/>
          <w:caps w:val="0"/>
          <w:color w:val="000000"/>
          <w:spacing w:val="0"/>
          <w:sz w:val="27"/>
          <w:szCs w:val="27"/>
          <w:bdr w:val="none" w:color="auto" w:sz="0" w:space="0"/>
          <w:shd w:val="clear" w:fill="FFFFFF"/>
        </w:rPr>
        <w:t> 对需要开展治理与修复的污染地块，土地使用权人应当根据土壤环境详细调查报告、风险评估报告等，按照国家有关环境标准和技术规范，编制污染地块治理与修复工程方案，并及时上传污染地块信息系统。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土地使用权人应当在工程实施期间，将治理与修复工程方案的主要内容通过其网站等便于公众知晓的方式向社会公开。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工程方案应当包括治理与修复范围和目标、技术路线和工艺参数、二次污染防范措施等内容。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第二十五条</w:t>
      </w:r>
      <w:r>
        <w:rPr>
          <w:rFonts w:hint="eastAsia" w:ascii="宋体" w:hAnsi="宋体" w:eastAsia="宋体" w:cs="宋体"/>
          <w:i w:val="0"/>
          <w:iCs w:val="0"/>
          <w:caps w:val="0"/>
          <w:color w:val="000000"/>
          <w:spacing w:val="0"/>
          <w:sz w:val="27"/>
          <w:szCs w:val="27"/>
          <w:bdr w:val="none" w:color="auto" w:sz="0" w:space="0"/>
          <w:shd w:val="clear" w:fill="FFFFFF"/>
        </w:rPr>
        <w:t> 污染地块治理与修复期间，土地使用权人或者其委托的专业机构应当采取措施，防止对地块及其周边环境造成二次污染；治理与修复过程中产生的废水、废气和固体废物，应当按照国家有关规定进行处理或者处置，并达到国家或者地方规定的环境标准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治理与修复工程原则上应当在原址进行；确需转运污染土壤的，土地使用权人或者其委托的专业机构应当将运输时间、方式、线路和污染土壤数量、去向、最终处置措施等，提前五个工作日向所在地和接收地设区的市级环境保护主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修复后的土壤再利用应当符合国家或者地方有关规定和标准要求。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治理与修复期间，土地使用权人或者其委托的专业机构应当设立公告牌和警示标识，公开工程基本情况、环境影响及其防范措施等。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第二十六条</w:t>
      </w:r>
      <w:r>
        <w:rPr>
          <w:rFonts w:hint="eastAsia" w:ascii="宋体" w:hAnsi="宋体" w:eastAsia="宋体" w:cs="宋体"/>
          <w:i w:val="0"/>
          <w:iCs w:val="0"/>
          <w:caps w:val="0"/>
          <w:color w:val="000000"/>
          <w:spacing w:val="0"/>
          <w:sz w:val="27"/>
          <w:szCs w:val="27"/>
          <w:bdr w:val="none" w:color="auto" w:sz="0" w:space="0"/>
          <w:shd w:val="clear" w:fill="FFFFFF"/>
        </w:rPr>
        <w:t> 治理与修复工程完工后，土地使用权人应当委托第三方机构按照国家有关环境标准和技术规范，开展治理与修复效果评估，编制治理与修复效果评估报告，及时上传污染地块信息系统，并通过其网站等便于公众知晓的方式公开，公开时间不得少于两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治理与修复效果评估报告应当包括治理与修复工程概况、环境保护措施落实情况、治理与修复效果监测结果、评估结论及后续监测建议等内容。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第二十七条</w:t>
      </w:r>
      <w:r>
        <w:rPr>
          <w:rFonts w:hint="eastAsia" w:ascii="宋体" w:hAnsi="宋体" w:eastAsia="宋体" w:cs="宋体"/>
          <w:i w:val="0"/>
          <w:iCs w:val="0"/>
          <w:caps w:val="0"/>
          <w:color w:val="000000"/>
          <w:spacing w:val="0"/>
          <w:sz w:val="27"/>
          <w:szCs w:val="27"/>
          <w:bdr w:val="none" w:color="auto" w:sz="0" w:space="0"/>
          <w:shd w:val="clear" w:fill="FFFFFF"/>
        </w:rPr>
        <w:t> 污染地块未经治理与修复，或者经治理与修复但未达到相关规划用地土壤环境质量要求的，有关环境保护主管部门不予批准选址涉及该污染地块的建设项目环境影响报告书或者报告表。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第二十八条</w:t>
      </w:r>
      <w:r>
        <w:rPr>
          <w:rFonts w:hint="eastAsia" w:ascii="宋体" w:hAnsi="宋体" w:eastAsia="宋体" w:cs="宋体"/>
          <w:i w:val="0"/>
          <w:iCs w:val="0"/>
          <w:caps w:val="0"/>
          <w:color w:val="000000"/>
          <w:spacing w:val="0"/>
          <w:sz w:val="27"/>
          <w:szCs w:val="27"/>
          <w:bdr w:val="none" w:color="auto" w:sz="0" w:space="0"/>
          <w:shd w:val="clear" w:fill="FFFFFF"/>
        </w:rPr>
        <w:t> 县级以上环境保护主管部门应当会同城乡规划、国土资源等部门，建立和完善污染地块信息沟通机制，对污染地块的开发利用实行联动监管。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污染地块经治理与修复，并符合相应规划用地土壤环境质量要求后，可以进入用地程序。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　　第二十九条</w:t>
      </w:r>
      <w:r>
        <w:rPr>
          <w:rFonts w:hint="eastAsia" w:ascii="宋体" w:hAnsi="宋体" w:eastAsia="宋体" w:cs="宋体"/>
          <w:i w:val="0"/>
          <w:iCs w:val="0"/>
          <w:caps w:val="0"/>
          <w:color w:val="000000"/>
          <w:spacing w:val="0"/>
          <w:sz w:val="27"/>
          <w:szCs w:val="27"/>
          <w:bdr w:val="none" w:color="auto" w:sz="0" w:space="0"/>
          <w:shd w:val="clear" w:fill="FFFFFF"/>
        </w:rPr>
        <w:t>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第三十条</w:t>
      </w:r>
      <w:r>
        <w:rPr>
          <w:rFonts w:hint="eastAsia" w:ascii="宋体" w:hAnsi="宋体" w:eastAsia="宋体" w:cs="宋体"/>
          <w:i w:val="0"/>
          <w:iCs w:val="0"/>
          <w:caps w:val="0"/>
          <w:color w:val="000000"/>
          <w:spacing w:val="0"/>
          <w:sz w:val="27"/>
          <w:szCs w:val="27"/>
          <w:bdr w:val="none" w:color="auto" w:sz="0" w:space="0"/>
          <w:shd w:val="clear" w:fill="FFFFFF"/>
        </w:rPr>
        <w:t> 县级以上环境保护主管部门对疑似污染地块和污染地块相关活动进行监督检查时，有权采取下列措施：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（一）向被检查单位调查、了解疑似污染地块和污染地块的有关情况；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（二）进入被检查单位进行现场核查或者监测；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（三）查阅、复制相关文件、记录以及其他有关资料；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（四）要求被检查单位提交有关情况说明。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第三十一条</w:t>
      </w:r>
      <w:r>
        <w:rPr>
          <w:rFonts w:hint="eastAsia" w:ascii="宋体" w:hAnsi="宋体" w:eastAsia="宋体" w:cs="宋体"/>
          <w:i w:val="0"/>
          <w:iCs w:val="0"/>
          <w:caps w:val="0"/>
          <w:color w:val="000000"/>
          <w:spacing w:val="0"/>
          <w:sz w:val="27"/>
          <w:szCs w:val="27"/>
          <w:bdr w:val="none" w:color="auto" w:sz="0" w:space="0"/>
          <w:shd w:val="clear" w:fill="FFFFFF"/>
        </w:rPr>
        <w:t> 设区的市级环境保护主管部门应当于每年的12月31日前，将本年度本行政区域的污染地块环境管理工作情况报省级环境保护主管部门。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省级环境保护主管部门应当于每年的1月31日前，将上一年度本行政区域的污染地块环境管理工作情况报环境保护部。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第三十二条</w:t>
      </w:r>
      <w:r>
        <w:rPr>
          <w:rFonts w:hint="eastAsia" w:ascii="宋体" w:hAnsi="宋体" w:eastAsia="宋体" w:cs="宋体"/>
          <w:i w:val="0"/>
          <w:iCs w:val="0"/>
          <w:caps w:val="0"/>
          <w:color w:val="000000"/>
          <w:spacing w:val="0"/>
          <w:sz w:val="27"/>
          <w:szCs w:val="27"/>
          <w:bdr w:val="none" w:color="auto" w:sz="0" w:space="0"/>
          <w:shd w:val="clear" w:fill="FFFFFF"/>
        </w:rPr>
        <w:t> 违反本办法规定，受委托的专业机构在编制土壤环境初步调查报告、土壤环境详细调查报告、风险评估报告、风险管控方案、治理与修复方案过程中，或者受委托的第三方机构在编制治理与修复效果评估报告过程中，不负责任或者弄虚作假致使报告失实的，由县级以上环境保护主管部门将该机构失信情况记入其环境信用记录，并通过企业信用信息公示系统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　　第三十三条</w:t>
      </w:r>
      <w:r>
        <w:rPr>
          <w:rFonts w:hint="eastAsia" w:ascii="宋体" w:hAnsi="宋体" w:eastAsia="宋体" w:cs="宋体"/>
          <w:i w:val="0"/>
          <w:iCs w:val="0"/>
          <w:caps w:val="0"/>
          <w:color w:val="000000"/>
          <w:spacing w:val="0"/>
          <w:sz w:val="27"/>
          <w:szCs w:val="27"/>
          <w:bdr w:val="none" w:color="auto" w:sz="0" w:space="0"/>
          <w:shd w:val="clear" w:fill="FFFFFF"/>
        </w:rPr>
        <w:t> 本办法自2017年7月1日起施行。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
      <w:suff w:val="nothing"/>
      <w:lvlText w:val="%1.%2.%3.%4　"/>
      <w:lvlJc w:val="left"/>
      <w:pPr>
        <w:ind w:left="0" w:firstLine="0"/>
      </w:pPr>
      <w:rPr>
        <w:rFonts w:hint="eastAsia" w:ascii="黑体" w:hAnsi="Times New Roman" w:eastAsia="黑体"/>
        <w:b w:val="0"/>
        <w:i w:val="0"/>
        <w:sz w:val="21"/>
      </w:rPr>
    </w:lvl>
    <w:lvl w:ilvl="4" w:tentative="0">
      <w:start w:val="1"/>
      <w:numFmt w:val="decimal"/>
      <w:pStyle w:val="11"/>
      <w:suff w:val="nothing"/>
      <w:lvlText w:val="%1.%2.%3.%4.%5　"/>
      <w:lvlJc w:val="left"/>
      <w:pPr>
        <w:ind w:left="0" w:firstLine="0"/>
      </w:pPr>
      <w:rPr>
        <w:rFonts w:hint="eastAsia" w:ascii="黑体" w:hAnsi="Times New Roman" w:eastAsia="黑体"/>
        <w:b w:val="0"/>
        <w:i w:val="0"/>
        <w:sz w:val="21"/>
      </w:rPr>
    </w:lvl>
    <w:lvl w:ilvl="5" w:tentative="0">
      <w:start w:val="1"/>
      <w:numFmt w:val="decimal"/>
      <w:pStyle w:val="1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112D8"/>
    <w:rsid w:val="0B470233"/>
    <w:rsid w:val="38D5517C"/>
    <w:rsid w:val="407F754C"/>
    <w:rsid w:val="45805897"/>
    <w:rsid w:val="481F1DFF"/>
    <w:rsid w:val="48F539E2"/>
    <w:rsid w:val="4B8030CA"/>
    <w:rsid w:val="529112D8"/>
    <w:rsid w:val="67CE5BED"/>
    <w:rsid w:val="6D1A05DB"/>
    <w:rsid w:val="72141ED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rPr>
      <w:rFonts w:ascii="黑体" w:hAnsi="黑体" w:eastAsia="黑体" w:cs="Times New Roman"/>
      <w:sz w:val="24"/>
      <w:szCs w:val="21"/>
      <w:lang w:val="en-US" w:eastAsia="zh-CN" w:bidi="ar-SA"/>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章标题"/>
    <w:next w:val="7"/>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7">
    <w:name w:val="段"/>
    <w:link w:val="13"/>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8">
    <w:name w:val="一级条标题"/>
    <w:next w:val="7"/>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9">
    <w:name w:val="二级条标题"/>
    <w:basedOn w:val="8"/>
    <w:next w:val="7"/>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10">
    <w:name w:val="三级条标题"/>
    <w:basedOn w:val="1"/>
    <w:uiPriority w:val="0"/>
    <w:pPr>
      <w:numPr>
        <w:ilvl w:val="3"/>
        <w:numId w:val="2"/>
      </w:numPr>
    </w:pPr>
    <w:rPr>
      <w:rFonts w:ascii="黑体" w:hAnsi="黑体" w:eastAsia="黑体" w:cs="Times New Roman"/>
      <w:sz w:val="24"/>
      <w:szCs w:val="21"/>
      <w:lang w:val="en-US" w:eastAsia="zh-CN" w:bidi="ar-SA"/>
    </w:rPr>
  </w:style>
  <w:style w:type="paragraph" w:customStyle="1" w:styleId="11">
    <w:name w:val="四级条标题"/>
    <w:basedOn w:val="1"/>
    <w:qFormat/>
    <w:uiPriority w:val="0"/>
    <w:pPr>
      <w:numPr>
        <w:ilvl w:val="4"/>
        <w:numId w:val="2"/>
      </w:numPr>
    </w:pPr>
    <w:rPr>
      <w:rFonts w:ascii="黑体" w:hAnsi="黑体" w:eastAsia="黑体" w:cs="Times New Roman"/>
      <w:sz w:val="24"/>
      <w:szCs w:val="21"/>
      <w:lang w:val="en-US" w:eastAsia="zh-CN" w:bidi="ar-SA"/>
    </w:rPr>
  </w:style>
  <w:style w:type="paragraph" w:customStyle="1" w:styleId="12">
    <w:name w:val="五级条标题"/>
    <w:basedOn w:val="1"/>
    <w:qFormat/>
    <w:uiPriority w:val="0"/>
    <w:pPr>
      <w:numPr>
        <w:ilvl w:val="5"/>
        <w:numId w:val="2"/>
      </w:numPr>
    </w:pPr>
    <w:rPr>
      <w:rFonts w:ascii="黑体" w:hAnsi="黑体" w:eastAsia="黑体" w:cs="Times New Roman"/>
      <w:sz w:val="24"/>
      <w:szCs w:val="21"/>
      <w:lang w:val="en-US" w:eastAsia="zh-CN" w:bidi="ar-SA"/>
    </w:rPr>
  </w:style>
  <w:style w:type="character" w:customStyle="1" w:styleId="13">
    <w:name w:val="段 Char"/>
    <w:link w:val="7"/>
    <w:qFormat/>
    <w:uiPriority w:val="0"/>
    <w:rPr>
      <w:rFonts w:ascii="宋体" w:hAnsi="宋体" w:eastAsia="宋体"/>
      <w:sz w:val="24"/>
    </w:rPr>
  </w:style>
  <w:style w:type="paragraph" w:customStyle="1" w:styleId="14">
    <w:name w:val="三级无"/>
    <w:basedOn w:val="10"/>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2021-04-14T08:45:00Z</dcterms:created>
  <dc:creator>玲俐</dc:creator>
  <cp:lastModifiedBy>玲俐</cp:lastModifiedBy>
  <dcterms:modified xsi:type="dcterms:W3CDTF">2021-04-14T08:46:32Z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BC8455B6D6424E9D9611661171D8B3D4</vt:lpwstr>
  </property>
</Properties>
</file>