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jc w:val="center"/>
        <w:rPr>
          <w:sz w:val="36"/>
        </w:rPr>
      </w:pPr>
      <w:r>
        <w:rPr>
          <w:rFonts w:hint="eastAsia"/>
          <w:sz w:val="36"/>
        </w:rPr>
        <w:t>风险分级管控体系</w:t>
      </w:r>
    </w:p>
    <w:p>
      <w:pPr>
        <w:jc w:val="center"/>
        <w:rPr>
          <w:sz w:val="36"/>
        </w:rPr>
      </w:pPr>
      <w:r>
        <w:rPr>
          <w:rFonts w:hint="eastAsia"/>
          <w:sz w:val="36"/>
        </w:rPr>
        <w:t>主要风险分析控制措施评审记录</w:t>
      </w: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sz w:val="36"/>
        </w:rPr>
      </w:pPr>
    </w:p>
    <w:p>
      <w:pPr>
        <w:jc w:val="center"/>
        <w:rPr>
          <w:rFonts w:hint="eastAsia"/>
          <w:sz w:val="28"/>
          <w:szCs w:val="24"/>
        </w:rPr>
      </w:pPr>
    </w:p>
    <w:p>
      <w:pPr>
        <w:jc w:val="center"/>
        <w:rPr>
          <w:rFonts w:hint="eastAsia"/>
          <w:sz w:val="28"/>
          <w:szCs w:val="24"/>
        </w:rPr>
      </w:pPr>
    </w:p>
    <w:p>
      <w:pPr>
        <w:jc w:val="center"/>
        <w:rPr>
          <w:rFonts w:hint="eastAsia"/>
          <w:sz w:val="28"/>
          <w:szCs w:val="24"/>
        </w:rPr>
      </w:pPr>
    </w:p>
    <w:p>
      <w:pPr>
        <w:jc w:val="center"/>
        <w:rPr>
          <w:sz w:val="28"/>
          <w:szCs w:val="24"/>
        </w:rPr>
      </w:pPr>
      <w:r>
        <w:rPr>
          <w:rFonts w:hint="eastAsia"/>
          <w:sz w:val="28"/>
          <w:szCs w:val="24"/>
        </w:rPr>
        <w:t>风险分级管控体系</w:t>
      </w:r>
    </w:p>
    <w:p>
      <w:pPr>
        <w:jc w:val="center"/>
        <w:rPr>
          <w:sz w:val="28"/>
          <w:szCs w:val="24"/>
        </w:rPr>
      </w:pPr>
      <w:r>
        <w:rPr>
          <w:rFonts w:hint="eastAsia"/>
          <w:sz w:val="28"/>
          <w:szCs w:val="24"/>
        </w:rPr>
        <w:t>控制措施评审</w:t>
      </w:r>
    </w:p>
    <w:p>
      <w:pPr>
        <w:rPr>
          <w:sz w:val="28"/>
        </w:rPr>
      </w:pPr>
      <w:r>
        <w:rPr>
          <w:rFonts w:hint="eastAsia"/>
          <w:sz w:val="28"/>
        </w:rPr>
        <w:t>一、评审目的</w:t>
      </w:r>
    </w:p>
    <w:p>
      <w:pPr>
        <w:rPr>
          <w:sz w:val="28"/>
        </w:rPr>
      </w:pPr>
      <w:r>
        <w:rPr>
          <w:rFonts w:hint="eastAsia"/>
          <w:sz w:val="28"/>
        </w:rPr>
        <w:t xml:space="preserve">         对公司所辨识出的危险源的风险控制措施进行评审，找出分析人员提出的控制措施的不足之处，指导岗位人员对危险源全面的、可操作性的控制措施。</w:t>
      </w:r>
    </w:p>
    <w:p>
      <w:pPr>
        <w:rPr>
          <w:sz w:val="28"/>
        </w:rPr>
      </w:pPr>
      <w:r>
        <w:rPr>
          <w:rFonts w:hint="eastAsia"/>
          <w:sz w:val="28"/>
        </w:rPr>
        <w:t>二、评审小组成员</w:t>
      </w:r>
    </w:p>
    <w:p>
      <w:pPr>
        <w:spacing w:line="440" w:lineRule="exact"/>
        <w:ind w:firstLine="560" w:firstLineChars="200"/>
        <w:rPr>
          <w:b/>
          <w:bCs/>
          <w:sz w:val="28"/>
          <w:szCs w:val="28"/>
        </w:rPr>
      </w:pPr>
      <w:r>
        <w:rPr>
          <w:rFonts w:hint="eastAsia"/>
          <w:sz w:val="28"/>
        </w:rPr>
        <w:t xml:space="preserve"> </w:t>
      </w:r>
      <w:r>
        <w:rPr>
          <w:rFonts w:hint="eastAsia"/>
          <w:b/>
          <w:bCs/>
          <w:sz w:val="28"/>
          <w:szCs w:val="28"/>
        </w:rPr>
        <w:t>组  长：</w:t>
      </w:r>
    </w:p>
    <w:p>
      <w:pPr>
        <w:spacing w:line="440" w:lineRule="exact"/>
        <w:ind w:firstLine="562" w:firstLineChars="200"/>
        <w:rPr>
          <w:b/>
          <w:bCs/>
          <w:sz w:val="28"/>
          <w:szCs w:val="28"/>
        </w:rPr>
      </w:pPr>
      <w:r>
        <w:rPr>
          <w:rFonts w:hint="eastAsia"/>
          <w:b/>
          <w:bCs/>
          <w:sz w:val="28"/>
          <w:szCs w:val="28"/>
        </w:rPr>
        <w:t>副组长：</w:t>
      </w:r>
    </w:p>
    <w:p>
      <w:pPr>
        <w:spacing w:line="440" w:lineRule="exact"/>
        <w:ind w:firstLine="562" w:firstLineChars="200"/>
        <w:rPr>
          <w:sz w:val="28"/>
        </w:rPr>
      </w:pPr>
      <w:r>
        <w:rPr>
          <w:rFonts w:hint="eastAsia"/>
          <w:b/>
          <w:bCs/>
          <w:sz w:val="28"/>
          <w:szCs w:val="28"/>
        </w:rPr>
        <w:t>成  员：</w:t>
      </w:r>
      <w:bookmarkStart w:id="0" w:name="_GoBack"/>
      <w:bookmarkEnd w:id="0"/>
    </w:p>
    <w:p>
      <w:pPr>
        <w:rPr>
          <w:sz w:val="28"/>
        </w:rPr>
      </w:pPr>
      <w:r>
        <w:rPr>
          <w:rFonts w:hint="eastAsia"/>
          <w:sz w:val="28"/>
        </w:rPr>
        <w:t>三、评审时间</w:t>
      </w:r>
    </w:p>
    <w:p>
      <w:pPr>
        <w:rPr>
          <w:sz w:val="28"/>
        </w:rPr>
      </w:pPr>
      <w:r>
        <w:rPr>
          <w:rFonts w:hint="eastAsia"/>
          <w:sz w:val="28"/>
        </w:rPr>
        <w:t xml:space="preserve">     </w:t>
      </w:r>
      <w:r>
        <w:rPr>
          <w:rFonts w:hint="eastAsia"/>
          <w:sz w:val="28"/>
          <w:lang w:val="en-US" w:eastAsia="zh-CN"/>
        </w:rPr>
        <w:t>xx</w:t>
      </w:r>
      <w:r>
        <w:rPr>
          <w:rFonts w:hint="eastAsia"/>
          <w:sz w:val="28"/>
        </w:rPr>
        <w:t>年</w:t>
      </w:r>
      <w:r>
        <w:rPr>
          <w:rFonts w:hint="eastAsia"/>
          <w:sz w:val="28"/>
          <w:lang w:val="en-US" w:eastAsia="zh-CN"/>
        </w:rPr>
        <w:t>xx</w:t>
      </w:r>
      <w:r>
        <w:rPr>
          <w:rFonts w:hint="eastAsia"/>
          <w:sz w:val="28"/>
        </w:rPr>
        <w:t>月</w:t>
      </w:r>
      <w:r>
        <w:rPr>
          <w:rFonts w:hint="eastAsia"/>
          <w:sz w:val="28"/>
          <w:lang w:val="en-US" w:eastAsia="zh-CN"/>
        </w:rPr>
        <w:t>xx</w:t>
      </w:r>
      <w:r>
        <w:rPr>
          <w:rFonts w:hint="eastAsia"/>
          <w:sz w:val="28"/>
        </w:rPr>
        <w:t>日      8:50——11:40</w:t>
      </w:r>
    </w:p>
    <w:p>
      <w:pPr>
        <w:rPr>
          <w:sz w:val="28"/>
        </w:rPr>
      </w:pPr>
      <w:r>
        <w:rPr>
          <w:rFonts w:hint="eastAsia"/>
          <w:sz w:val="28"/>
        </w:rPr>
        <w:t>四、评审内容</w:t>
      </w:r>
    </w:p>
    <w:p>
      <w:pPr>
        <w:rPr>
          <w:sz w:val="28"/>
        </w:rPr>
      </w:pPr>
      <w:r>
        <w:rPr>
          <w:rFonts w:hint="eastAsia"/>
          <w:sz w:val="28"/>
        </w:rPr>
        <w:t xml:space="preserve">         危险源的工程技术措施、管理措施、培训教育措施、个体防护措施、应急处置措施。</w:t>
      </w:r>
    </w:p>
    <w:p>
      <w:pPr>
        <w:rPr>
          <w:sz w:val="28"/>
        </w:rPr>
      </w:pPr>
      <w:r>
        <w:rPr>
          <w:rFonts w:hint="eastAsia"/>
          <w:sz w:val="28"/>
        </w:rPr>
        <w:t>具体如下：</w:t>
      </w:r>
    </w:p>
    <w:tbl>
      <w:tblPr>
        <w:tblStyle w:val="3"/>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10"/>
        <w:gridCol w:w="549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after="0" w:line="240" w:lineRule="auto"/>
              <w:jc w:val="center"/>
              <w:rPr>
                <w:sz w:val="28"/>
              </w:rPr>
            </w:pPr>
            <w:r>
              <w:rPr>
                <w:rFonts w:hint="eastAsia"/>
                <w:sz w:val="28"/>
              </w:rPr>
              <w:t>序号</w:t>
            </w:r>
          </w:p>
        </w:tc>
        <w:tc>
          <w:tcPr>
            <w:tcW w:w="1710" w:type="dxa"/>
            <w:vAlign w:val="center"/>
          </w:tcPr>
          <w:p>
            <w:pPr>
              <w:spacing w:after="0" w:line="240" w:lineRule="auto"/>
              <w:jc w:val="center"/>
              <w:rPr>
                <w:sz w:val="28"/>
              </w:rPr>
            </w:pPr>
            <w:r>
              <w:rPr>
                <w:rFonts w:hint="eastAsia"/>
                <w:sz w:val="28"/>
              </w:rPr>
              <w:t>评审对象</w:t>
            </w:r>
          </w:p>
        </w:tc>
        <w:tc>
          <w:tcPr>
            <w:tcW w:w="5490" w:type="dxa"/>
            <w:vAlign w:val="center"/>
          </w:tcPr>
          <w:p>
            <w:pPr>
              <w:spacing w:after="0" w:line="240" w:lineRule="auto"/>
              <w:jc w:val="center"/>
              <w:rPr>
                <w:sz w:val="28"/>
              </w:rPr>
            </w:pPr>
            <w:r>
              <w:rPr>
                <w:rFonts w:hint="eastAsia"/>
                <w:sz w:val="28"/>
              </w:rPr>
              <w:t>评审内容</w:t>
            </w:r>
          </w:p>
        </w:tc>
        <w:tc>
          <w:tcPr>
            <w:tcW w:w="1728" w:type="dxa"/>
            <w:vAlign w:val="center"/>
          </w:tcPr>
          <w:p>
            <w:pPr>
              <w:spacing w:after="0" w:line="240" w:lineRule="auto"/>
              <w:jc w:val="center"/>
              <w:rPr>
                <w:sz w:val="28"/>
              </w:rPr>
            </w:pPr>
            <w:r>
              <w:rPr>
                <w:rFonts w:hint="eastAsia"/>
                <w:sz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after="0" w:line="240" w:lineRule="auto"/>
              <w:rPr>
                <w:sz w:val="28"/>
              </w:rPr>
            </w:pPr>
            <w:r>
              <w:rPr>
                <w:rFonts w:hint="eastAsia"/>
                <w:sz w:val="28"/>
              </w:rPr>
              <w:t>1</w:t>
            </w:r>
          </w:p>
        </w:tc>
        <w:tc>
          <w:tcPr>
            <w:tcW w:w="1710" w:type="dxa"/>
            <w:vAlign w:val="center"/>
          </w:tcPr>
          <w:p>
            <w:pPr>
              <w:spacing w:after="0" w:line="240" w:lineRule="auto"/>
              <w:rPr>
                <w:sz w:val="28"/>
              </w:rPr>
            </w:pPr>
            <w:r>
              <w:rPr>
                <w:rFonts w:hint="eastAsia"/>
                <w:sz w:val="28"/>
              </w:rPr>
              <w:t>设备设施</w:t>
            </w:r>
          </w:p>
        </w:tc>
        <w:tc>
          <w:tcPr>
            <w:tcW w:w="5490" w:type="dxa"/>
          </w:tcPr>
          <w:p>
            <w:pPr>
              <w:spacing w:after="0" w:line="240" w:lineRule="auto"/>
              <w:rPr>
                <w:sz w:val="28"/>
              </w:rPr>
            </w:pPr>
            <w:r>
              <w:rPr>
                <w:rFonts w:hint="eastAsia"/>
                <w:sz w:val="28"/>
              </w:rPr>
              <w:t>对整个生产工艺过程中所覆盖到的设备设施潜在的风险辨识分析结果、相关控制措施是否全面无疏漏，是否具有可操作性进行评审。</w:t>
            </w:r>
          </w:p>
        </w:tc>
        <w:tc>
          <w:tcPr>
            <w:tcW w:w="1728" w:type="dxa"/>
            <w:vAlign w:val="center"/>
          </w:tcPr>
          <w:p>
            <w:pPr>
              <w:spacing w:after="0" w:line="240" w:lineRule="auto"/>
              <w:jc w:val="center"/>
              <w:rPr>
                <w:sz w:val="28"/>
              </w:rPr>
            </w:pPr>
            <w:r>
              <w:rPr>
                <w:rFonts w:hint="eastAsia"/>
                <w:sz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after="0" w:line="240" w:lineRule="auto"/>
              <w:rPr>
                <w:sz w:val="28"/>
              </w:rPr>
            </w:pPr>
            <w:r>
              <w:rPr>
                <w:rFonts w:hint="eastAsia"/>
                <w:sz w:val="28"/>
              </w:rPr>
              <w:t>2</w:t>
            </w:r>
          </w:p>
        </w:tc>
        <w:tc>
          <w:tcPr>
            <w:tcW w:w="1710" w:type="dxa"/>
            <w:vAlign w:val="center"/>
          </w:tcPr>
          <w:p>
            <w:pPr>
              <w:spacing w:after="0" w:line="240" w:lineRule="auto"/>
              <w:rPr>
                <w:sz w:val="28"/>
              </w:rPr>
            </w:pPr>
            <w:r>
              <w:rPr>
                <w:rFonts w:hint="eastAsia"/>
                <w:sz w:val="28"/>
              </w:rPr>
              <w:t>配电室</w:t>
            </w:r>
          </w:p>
        </w:tc>
        <w:tc>
          <w:tcPr>
            <w:tcW w:w="5490" w:type="dxa"/>
          </w:tcPr>
          <w:p>
            <w:pPr>
              <w:spacing w:after="0" w:line="240" w:lineRule="auto"/>
              <w:rPr>
                <w:sz w:val="28"/>
              </w:rPr>
            </w:pPr>
            <w:r>
              <w:rPr>
                <w:rFonts w:hint="eastAsia"/>
                <w:sz w:val="28"/>
              </w:rPr>
              <w:t>对配电室内设备设施及绝缘手套等劳动防护的风险辨识、分析结果及相关控制措施进行评审。</w:t>
            </w:r>
          </w:p>
        </w:tc>
        <w:tc>
          <w:tcPr>
            <w:tcW w:w="1728" w:type="dxa"/>
            <w:vAlign w:val="center"/>
          </w:tcPr>
          <w:p>
            <w:pPr>
              <w:spacing w:after="0" w:line="240" w:lineRule="auto"/>
              <w:jc w:val="center"/>
              <w:rPr>
                <w:sz w:val="28"/>
              </w:rPr>
            </w:pPr>
            <w:r>
              <w:rPr>
                <w:rFonts w:hint="eastAsia"/>
                <w:sz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after="0" w:line="240" w:lineRule="auto"/>
              <w:rPr>
                <w:sz w:val="28"/>
              </w:rPr>
            </w:pPr>
            <w:r>
              <w:rPr>
                <w:rFonts w:hint="eastAsia"/>
                <w:sz w:val="28"/>
              </w:rPr>
              <w:t>3</w:t>
            </w:r>
          </w:p>
        </w:tc>
        <w:tc>
          <w:tcPr>
            <w:tcW w:w="1710" w:type="dxa"/>
            <w:vAlign w:val="center"/>
          </w:tcPr>
          <w:p>
            <w:pPr>
              <w:spacing w:after="0" w:line="240" w:lineRule="auto"/>
              <w:rPr>
                <w:sz w:val="28"/>
              </w:rPr>
            </w:pPr>
            <w:r>
              <w:rPr>
                <w:rFonts w:hint="eastAsia"/>
                <w:sz w:val="28"/>
              </w:rPr>
              <w:t>生产作业活动</w:t>
            </w:r>
          </w:p>
        </w:tc>
        <w:tc>
          <w:tcPr>
            <w:tcW w:w="5490" w:type="dxa"/>
          </w:tcPr>
          <w:p>
            <w:pPr>
              <w:spacing w:after="0" w:line="240" w:lineRule="auto"/>
              <w:rPr>
                <w:sz w:val="28"/>
              </w:rPr>
            </w:pPr>
            <w:r>
              <w:rPr>
                <w:rFonts w:hint="eastAsia"/>
                <w:sz w:val="28"/>
              </w:rPr>
              <w:t>针对整个生产工艺的每个作业活动及作业步骤中所分析出的风险度、制定出的控制措施进行评审。</w:t>
            </w:r>
          </w:p>
        </w:tc>
        <w:tc>
          <w:tcPr>
            <w:tcW w:w="1728" w:type="dxa"/>
            <w:vAlign w:val="center"/>
          </w:tcPr>
          <w:p>
            <w:pPr>
              <w:spacing w:after="0" w:line="240" w:lineRule="auto"/>
              <w:jc w:val="center"/>
              <w:rPr>
                <w:sz w:val="28"/>
              </w:rPr>
            </w:pPr>
            <w:r>
              <w:rPr>
                <w:rFonts w:hint="eastAsia"/>
                <w:sz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after="0" w:line="240" w:lineRule="auto"/>
              <w:rPr>
                <w:sz w:val="28"/>
              </w:rPr>
            </w:pPr>
            <w:r>
              <w:rPr>
                <w:rFonts w:hint="eastAsia"/>
                <w:sz w:val="28"/>
              </w:rPr>
              <w:t>4</w:t>
            </w:r>
          </w:p>
        </w:tc>
        <w:tc>
          <w:tcPr>
            <w:tcW w:w="1710" w:type="dxa"/>
            <w:vAlign w:val="center"/>
          </w:tcPr>
          <w:p>
            <w:pPr>
              <w:spacing w:after="0" w:line="240" w:lineRule="auto"/>
              <w:rPr>
                <w:sz w:val="28"/>
              </w:rPr>
            </w:pPr>
            <w:r>
              <w:rPr>
                <w:rFonts w:hint="eastAsia"/>
                <w:sz w:val="28"/>
              </w:rPr>
              <w:t>检维修</w:t>
            </w:r>
          </w:p>
        </w:tc>
        <w:tc>
          <w:tcPr>
            <w:tcW w:w="5490" w:type="dxa"/>
          </w:tcPr>
          <w:p>
            <w:pPr>
              <w:spacing w:after="0" w:line="240" w:lineRule="auto"/>
              <w:rPr>
                <w:sz w:val="28"/>
              </w:rPr>
            </w:pPr>
            <w:r>
              <w:rPr>
                <w:rFonts w:hint="eastAsia"/>
                <w:sz w:val="28"/>
              </w:rPr>
              <w:t>对维修各类作业提出的风险分析及控制措施进行评审，确定是否全面无疏漏，是否具有有效性。</w:t>
            </w:r>
          </w:p>
        </w:tc>
        <w:tc>
          <w:tcPr>
            <w:tcW w:w="1728" w:type="dxa"/>
            <w:vAlign w:val="center"/>
          </w:tcPr>
          <w:p>
            <w:pPr>
              <w:spacing w:after="0" w:line="240" w:lineRule="auto"/>
              <w:jc w:val="center"/>
              <w:rPr>
                <w:sz w:val="28"/>
              </w:rPr>
            </w:pPr>
            <w:r>
              <w:rPr>
                <w:rFonts w:hint="eastAsia"/>
                <w:sz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576" w:type="dxa"/>
            <w:gridSpan w:val="4"/>
            <w:vAlign w:val="bottom"/>
          </w:tcPr>
          <w:p>
            <w:pPr>
              <w:spacing w:after="0" w:line="240" w:lineRule="auto"/>
              <w:jc w:val="center"/>
              <w:rPr>
                <w:sz w:val="28"/>
              </w:rPr>
            </w:pPr>
            <w:r>
              <w:rPr>
                <w:rFonts w:hint="eastAsia"/>
                <w:sz w:val="28"/>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9" w:hRule="atLeast"/>
        </w:trPr>
        <w:tc>
          <w:tcPr>
            <w:tcW w:w="9576" w:type="dxa"/>
            <w:gridSpan w:val="4"/>
          </w:tcPr>
          <w:p>
            <w:pPr>
              <w:spacing w:after="0" w:line="240" w:lineRule="auto"/>
              <w:rPr>
                <w:sz w:val="28"/>
              </w:rPr>
            </w:pPr>
            <w:r>
              <w:rPr>
                <w:rFonts w:hint="eastAsia"/>
                <w:sz w:val="28"/>
              </w:rPr>
              <w:t>评审小组评审意见：</w:t>
            </w:r>
          </w:p>
          <w:p>
            <w:pPr>
              <w:spacing w:after="0" w:line="240" w:lineRule="auto"/>
              <w:rPr>
                <w:sz w:val="28"/>
              </w:rPr>
            </w:pPr>
            <w:r>
              <w:rPr>
                <w:rFonts w:hint="eastAsia"/>
                <w:sz w:val="28"/>
              </w:rPr>
              <w:t xml:space="preserve">         通过工程技术、管理、培训教育、个人防护、应急处置五个方面所辨识分析的危险源及制定的相关控制措施，经公司评审确定结论如下：</w:t>
            </w:r>
          </w:p>
          <w:p>
            <w:pPr>
              <w:spacing w:after="0" w:line="240" w:lineRule="auto"/>
              <w:rPr>
                <w:sz w:val="28"/>
              </w:rPr>
            </w:pPr>
            <w:r>
              <w:rPr>
                <w:rFonts w:hint="eastAsia"/>
                <w:sz w:val="28"/>
              </w:rPr>
              <w:t>1.确定全员参与风险辨识分析活动及控制措施的制定；</w:t>
            </w:r>
          </w:p>
          <w:p>
            <w:pPr>
              <w:spacing w:after="0" w:line="240" w:lineRule="auto"/>
              <w:rPr>
                <w:sz w:val="28"/>
              </w:rPr>
            </w:pPr>
            <w:r>
              <w:rPr>
                <w:rFonts w:hint="eastAsia"/>
                <w:sz w:val="28"/>
              </w:rPr>
              <w:t>2.风险控制措施基本与实际相符，具有可操作性；</w:t>
            </w:r>
          </w:p>
          <w:p>
            <w:pPr>
              <w:spacing w:after="0" w:line="240" w:lineRule="auto"/>
              <w:rPr>
                <w:sz w:val="28"/>
              </w:rPr>
            </w:pPr>
            <w:r>
              <w:rPr>
                <w:rFonts w:hint="eastAsia"/>
                <w:sz w:val="28"/>
              </w:rPr>
              <w:t>3.建议职工在生产中做到以下几点：</w:t>
            </w:r>
          </w:p>
          <w:p>
            <w:pPr>
              <w:spacing w:after="0" w:line="240" w:lineRule="auto"/>
              <w:rPr>
                <w:sz w:val="28"/>
              </w:rPr>
            </w:pPr>
            <w:r>
              <w:rPr>
                <w:rFonts w:hint="eastAsia"/>
                <w:sz w:val="28"/>
              </w:rPr>
              <w:t>①各岗位人员需掌握自身岗位的控制措施，并按照相关的要求规范等进行操作；</w:t>
            </w:r>
          </w:p>
          <w:p>
            <w:pPr>
              <w:spacing w:after="0" w:line="240" w:lineRule="auto"/>
              <w:rPr>
                <w:sz w:val="28"/>
              </w:rPr>
            </w:pPr>
            <w:r>
              <w:rPr>
                <w:rFonts w:hint="eastAsia"/>
                <w:sz w:val="28"/>
              </w:rPr>
              <w:t>②按要求佩戴个体防护用品；</w:t>
            </w:r>
          </w:p>
          <w:p>
            <w:pPr>
              <w:spacing w:after="0" w:line="240" w:lineRule="auto"/>
              <w:rPr>
                <w:sz w:val="28"/>
              </w:rPr>
            </w:pPr>
            <w:r>
              <w:rPr>
                <w:rFonts w:hint="eastAsia"/>
                <w:sz w:val="28"/>
              </w:rPr>
              <w:t>③掌握本岗位的应急处置措施，以便在出现故障或事故时采取相应的措施将事故损害降低至最低。</w:t>
            </w:r>
          </w:p>
          <w:p>
            <w:pPr>
              <w:spacing w:after="0" w:line="240" w:lineRule="auto"/>
              <w:rPr>
                <w:sz w:val="28"/>
              </w:rPr>
            </w:pPr>
          </w:p>
          <w:p>
            <w:pPr>
              <w:spacing w:after="0" w:line="240" w:lineRule="auto"/>
              <w:rPr>
                <w:sz w:val="28"/>
              </w:rPr>
            </w:pPr>
          </w:p>
          <w:p>
            <w:pPr>
              <w:spacing w:after="0" w:line="240" w:lineRule="auto"/>
              <w:rPr>
                <w:sz w:val="28"/>
              </w:rPr>
            </w:pPr>
          </w:p>
          <w:p>
            <w:pPr>
              <w:spacing w:after="0" w:line="240" w:lineRule="auto"/>
              <w:rPr>
                <w:sz w:val="28"/>
              </w:rPr>
            </w:pPr>
            <w:r>
              <w:rPr>
                <w:rFonts w:hint="eastAsia"/>
                <w:sz w:val="28"/>
              </w:rPr>
              <w:t xml:space="preserve">                                                                      评审组长（签字）：</w:t>
            </w:r>
          </w:p>
          <w:p>
            <w:pPr>
              <w:spacing w:after="0" w:line="240" w:lineRule="auto"/>
              <w:rPr>
                <w:sz w:val="28"/>
              </w:rPr>
            </w:pPr>
          </w:p>
          <w:p>
            <w:pPr>
              <w:spacing w:after="0" w:line="240" w:lineRule="auto"/>
              <w:rPr>
                <w:sz w:val="28"/>
              </w:rPr>
            </w:pPr>
            <w:r>
              <w:rPr>
                <w:rFonts w:hint="eastAsia"/>
                <w:sz w:val="28"/>
              </w:rPr>
              <w:t xml:space="preserve">                                                                                                 日期：</w:t>
            </w:r>
          </w:p>
        </w:tc>
      </w:tr>
    </w:tbl>
    <w:p>
      <w:pPr>
        <w:rPr>
          <w:sz w:val="28"/>
        </w:rPr>
      </w:pPr>
    </w:p>
    <w:p>
      <w:pPr>
        <w:rPr>
          <w:sz w:val="28"/>
        </w:rPr>
      </w:pPr>
    </w:p>
    <w:p>
      <w:pPr>
        <w:rPr>
          <w:sz w:val="28"/>
        </w:rPr>
      </w:pPr>
    </w:p>
    <w:p>
      <w:pPr>
        <w:rPr>
          <w:sz w:val="28"/>
        </w:rPr>
      </w:pPr>
    </w:p>
    <w:p>
      <w:pPr>
        <w:jc w:val="center"/>
        <w:rPr>
          <w:rFonts w:hint="eastAsia"/>
          <w:b/>
          <w:sz w:val="36"/>
        </w:rPr>
      </w:pPr>
    </w:p>
    <w:p>
      <w:pPr>
        <w:jc w:val="center"/>
        <w:rPr>
          <w:rFonts w:hint="eastAsia"/>
          <w:b/>
          <w:sz w:val="36"/>
        </w:rPr>
      </w:pPr>
    </w:p>
    <w:p>
      <w:pPr>
        <w:jc w:val="center"/>
        <w:rPr>
          <w:b/>
          <w:sz w:val="36"/>
        </w:rPr>
      </w:pPr>
      <w:r>
        <w:rPr>
          <w:rFonts w:hint="eastAsia"/>
          <w:b/>
          <w:sz w:val="36"/>
        </w:rPr>
        <w:t>主要风险分析与控制措施评审</w:t>
      </w:r>
    </w:p>
    <w:p>
      <w:pPr>
        <w:jc w:val="center"/>
        <w:rPr>
          <w:b/>
          <w:sz w:val="36"/>
        </w:rPr>
      </w:pPr>
      <w:r>
        <w:rPr>
          <w:rFonts w:hint="eastAsia"/>
          <w:b/>
          <w:sz w:val="36"/>
        </w:rPr>
        <w:t>会议签到表</w:t>
      </w:r>
    </w:p>
    <w:tbl>
      <w:tblPr>
        <w:tblStyle w:val="3"/>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14"/>
        <w:gridCol w:w="2870"/>
        <w:gridCol w:w="2593"/>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56" w:type="dxa"/>
            <w:vAlign w:val="center"/>
          </w:tcPr>
          <w:p>
            <w:pPr>
              <w:spacing w:after="0" w:line="240" w:lineRule="auto"/>
              <w:jc w:val="center"/>
              <w:rPr>
                <w:b/>
                <w:sz w:val="28"/>
              </w:rPr>
            </w:pPr>
            <w:r>
              <w:rPr>
                <w:rFonts w:hint="eastAsia"/>
                <w:b/>
                <w:sz w:val="28"/>
              </w:rPr>
              <w:t>序号</w:t>
            </w:r>
          </w:p>
        </w:tc>
        <w:tc>
          <w:tcPr>
            <w:tcW w:w="1614" w:type="dxa"/>
            <w:vAlign w:val="center"/>
          </w:tcPr>
          <w:p>
            <w:pPr>
              <w:spacing w:after="0" w:line="240" w:lineRule="auto"/>
              <w:jc w:val="center"/>
              <w:rPr>
                <w:b/>
                <w:sz w:val="28"/>
              </w:rPr>
            </w:pPr>
            <w:r>
              <w:rPr>
                <w:rFonts w:hint="eastAsia"/>
                <w:b/>
                <w:sz w:val="28"/>
              </w:rPr>
              <w:t>姓名</w:t>
            </w:r>
          </w:p>
        </w:tc>
        <w:tc>
          <w:tcPr>
            <w:tcW w:w="2870" w:type="dxa"/>
            <w:vAlign w:val="center"/>
          </w:tcPr>
          <w:p>
            <w:pPr>
              <w:spacing w:after="0" w:line="240" w:lineRule="auto"/>
              <w:jc w:val="center"/>
              <w:rPr>
                <w:b/>
                <w:sz w:val="28"/>
              </w:rPr>
            </w:pPr>
            <w:r>
              <w:rPr>
                <w:rFonts w:hint="eastAsia"/>
                <w:b/>
                <w:sz w:val="28"/>
              </w:rPr>
              <w:t>职务</w:t>
            </w:r>
          </w:p>
        </w:tc>
        <w:tc>
          <w:tcPr>
            <w:tcW w:w="2593" w:type="dxa"/>
            <w:vAlign w:val="center"/>
          </w:tcPr>
          <w:p>
            <w:pPr>
              <w:spacing w:after="0" w:line="240" w:lineRule="auto"/>
              <w:jc w:val="center"/>
              <w:rPr>
                <w:b/>
                <w:sz w:val="28"/>
              </w:rPr>
            </w:pPr>
            <w:r>
              <w:rPr>
                <w:rFonts w:hint="eastAsia"/>
                <w:b/>
                <w:sz w:val="28"/>
              </w:rPr>
              <w:t>签名</w:t>
            </w:r>
          </w:p>
        </w:tc>
        <w:tc>
          <w:tcPr>
            <w:tcW w:w="1909" w:type="dxa"/>
            <w:vAlign w:val="center"/>
          </w:tcPr>
          <w:p>
            <w:pPr>
              <w:spacing w:after="0" w:line="240" w:lineRule="auto"/>
              <w:jc w:val="center"/>
              <w:rPr>
                <w:b/>
                <w:sz w:val="28"/>
              </w:rPr>
            </w:pPr>
            <w:r>
              <w:rPr>
                <w:rFonts w:hint="eastAsia"/>
                <w:b/>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r>
              <w:rPr>
                <w:rFonts w:hint="eastAsia"/>
                <w:sz w:val="28"/>
              </w:rPr>
              <w:t>1</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r>
              <w:rPr>
                <w:rFonts w:hint="eastAsia"/>
                <w:sz w:val="28"/>
              </w:rPr>
              <w:t>2</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6" w:type="dxa"/>
            <w:vAlign w:val="center"/>
          </w:tcPr>
          <w:p>
            <w:pPr>
              <w:spacing w:after="0" w:line="240" w:lineRule="auto"/>
              <w:jc w:val="center"/>
              <w:rPr>
                <w:sz w:val="28"/>
              </w:rPr>
            </w:pPr>
            <w:r>
              <w:rPr>
                <w:rFonts w:hint="eastAsia"/>
                <w:sz w:val="28"/>
              </w:rPr>
              <w:t>3</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r>
              <w:rPr>
                <w:rFonts w:hint="eastAsia"/>
                <w:sz w:val="28"/>
              </w:rPr>
              <w:t>4</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r>
              <w:rPr>
                <w:rFonts w:hint="eastAsia"/>
                <w:sz w:val="28"/>
              </w:rPr>
              <w:t>5</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r>
              <w:rPr>
                <w:rFonts w:hint="eastAsia"/>
                <w:sz w:val="28"/>
              </w:rPr>
              <w:t>6</w:t>
            </w: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6" w:type="dxa"/>
            <w:vAlign w:val="center"/>
          </w:tcPr>
          <w:p>
            <w:pPr>
              <w:spacing w:after="0" w:line="240" w:lineRule="auto"/>
              <w:jc w:val="center"/>
              <w:rPr>
                <w:sz w:val="28"/>
              </w:rPr>
            </w:pPr>
          </w:p>
        </w:tc>
        <w:tc>
          <w:tcPr>
            <w:tcW w:w="1614" w:type="dxa"/>
            <w:vAlign w:val="center"/>
          </w:tcPr>
          <w:p>
            <w:pPr>
              <w:spacing w:after="0" w:line="240" w:lineRule="auto"/>
              <w:jc w:val="center"/>
              <w:rPr>
                <w:sz w:val="28"/>
              </w:rPr>
            </w:pPr>
          </w:p>
        </w:tc>
        <w:tc>
          <w:tcPr>
            <w:tcW w:w="2870" w:type="dxa"/>
            <w:vAlign w:val="center"/>
          </w:tcPr>
          <w:p>
            <w:pPr>
              <w:spacing w:after="0" w:line="240" w:lineRule="auto"/>
              <w:jc w:val="center"/>
              <w:rPr>
                <w:sz w:val="28"/>
              </w:rPr>
            </w:pPr>
          </w:p>
        </w:tc>
        <w:tc>
          <w:tcPr>
            <w:tcW w:w="2593" w:type="dxa"/>
            <w:vAlign w:val="center"/>
          </w:tcPr>
          <w:p>
            <w:pPr>
              <w:spacing w:after="0" w:line="240" w:lineRule="auto"/>
              <w:jc w:val="center"/>
              <w:rPr>
                <w:sz w:val="28"/>
              </w:rPr>
            </w:pPr>
          </w:p>
        </w:tc>
        <w:tc>
          <w:tcPr>
            <w:tcW w:w="1909" w:type="dxa"/>
            <w:vAlign w:val="center"/>
          </w:tcPr>
          <w:p>
            <w:pPr>
              <w:spacing w:after="0" w:line="240" w:lineRule="auto"/>
              <w:jc w:val="center"/>
              <w:rPr>
                <w:sz w:val="28"/>
              </w:rPr>
            </w:pPr>
          </w:p>
        </w:tc>
      </w:tr>
    </w:tbl>
    <w:p>
      <w:pPr>
        <w:rPr>
          <w:sz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E9"/>
    <w:rsid w:val="00076900"/>
    <w:rsid w:val="002D38BB"/>
    <w:rsid w:val="004137B2"/>
    <w:rsid w:val="00506FE0"/>
    <w:rsid w:val="008B28E9"/>
    <w:rsid w:val="009721E1"/>
    <w:rsid w:val="00C55A8C"/>
    <w:rsid w:val="00C779CB"/>
    <w:rsid w:val="00FE554C"/>
    <w:rsid w:val="2CC95B62"/>
    <w:rsid w:val="48A9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181</Words>
  <Characters>1038</Characters>
  <Lines>8</Lines>
  <Paragraphs>2</Paragraphs>
  <TotalTime>1</TotalTime>
  <ScaleCrop>false</ScaleCrop>
  <LinksUpToDate>false</LinksUpToDate>
  <CharactersWithSpaces>1217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2018-11-06T01:14:00Z</dcterms:created>
  <dc:creator>Tony Zhou</dc:creator>
  <cp:lastModifiedBy>玲俐</cp:lastModifiedBy>
  <cp:lastPrinted>2018-11-06T02:02:00Z</cp:lastPrinted>
  <dcterms:modified xsi:type="dcterms:W3CDTF">2021-04-15T08:16:39Z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83044C3F888F4C09A93171F88972786A</vt:lpwstr>
  </property>
</Properties>
</file>